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2F2AB" w14:textId="2AE0B066" w:rsidR="00845D21" w:rsidRDefault="00845D21" w:rsidP="00B96A79">
      <w:pPr>
        <w:tabs>
          <w:tab w:val="left" w:pos="7371"/>
        </w:tabs>
        <w:spacing w:after="120" w:line="360" w:lineRule="auto"/>
        <w:jc w:val="both"/>
        <w:rPr>
          <w:rFonts w:cs="Arial"/>
          <w:b/>
          <w:sz w:val="28"/>
          <w:szCs w:val="28"/>
        </w:rPr>
      </w:pPr>
      <w:bookmarkStart w:id="0" w:name="_GoBack"/>
      <w:bookmarkEnd w:id="0"/>
      <w:r w:rsidRPr="00845D21">
        <w:rPr>
          <w:rFonts w:cs="Arial"/>
          <w:b/>
          <w:sz w:val="28"/>
          <w:szCs w:val="28"/>
        </w:rPr>
        <w:t>Allianz Partners</w:t>
      </w:r>
      <w:r w:rsidR="00973E53">
        <w:rPr>
          <w:rFonts w:cs="Arial"/>
          <w:b/>
          <w:sz w:val="28"/>
          <w:szCs w:val="28"/>
        </w:rPr>
        <w:t>-Studie</w:t>
      </w:r>
      <w:r w:rsidRPr="00845D21">
        <w:rPr>
          <w:rFonts w:cs="Arial"/>
          <w:b/>
          <w:sz w:val="28"/>
          <w:szCs w:val="28"/>
        </w:rPr>
        <w:t xml:space="preserve"> iden</w:t>
      </w:r>
      <w:r w:rsidR="0015099B">
        <w:rPr>
          <w:rFonts w:cs="Arial"/>
          <w:b/>
          <w:sz w:val="28"/>
          <w:szCs w:val="28"/>
        </w:rPr>
        <w:t>tifiziert Zukunftstrends der nächsten 20 Jahre</w:t>
      </w:r>
    </w:p>
    <w:p w14:paraId="24F1A78F" w14:textId="4675849F" w:rsidR="00845D21" w:rsidRPr="0015099B" w:rsidRDefault="0015099B" w:rsidP="00923002">
      <w:pPr>
        <w:tabs>
          <w:tab w:val="left" w:pos="7371"/>
          <w:tab w:val="left" w:pos="7655"/>
          <w:tab w:val="left" w:pos="8222"/>
        </w:tabs>
        <w:autoSpaceDE w:val="0"/>
        <w:autoSpaceDN w:val="0"/>
        <w:adjustRightInd w:val="0"/>
        <w:spacing w:after="240" w:line="360" w:lineRule="auto"/>
        <w:jc w:val="both"/>
        <w:rPr>
          <w:rFonts w:cs="Arial"/>
          <w:b/>
          <w:sz w:val="24"/>
          <w:szCs w:val="24"/>
        </w:rPr>
      </w:pPr>
      <w:r w:rsidRPr="0015099B">
        <w:rPr>
          <w:rFonts w:cs="Arial"/>
          <w:b/>
          <w:sz w:val="24"/>
          <w:szCs w:val="24"/>
        </w:rPr>
        <w:t>In Zusammen</w:t>
      </w:r>
      <w:r>
        <w:rPr>
          <w:rFonts w:cs="Arial"/>
          <w:b/>
          <w:sz w:val="24"/>
          <w:szCs w:val="24"/>
        </w:rPr>
        <w:t xml:space="preserve">arbeit mit dem </w:t>
      </w:r>
      <w:r w:rsidR="00A859E1">
        <w:rPr>
          <w:rFonts w:cs="Arial"/>
          <w:b/>
          <w:sz w:val="24"/>
          <w:szCs w:val="24"/>
        </w:rPr>
        <w:t xml:space="preserve">renommierten </w:t>
      </w:r>
      <w:r w:rsidR="008B64C5">
        <w:rPr>
          <w:rFonts w:cs="Arial"/>
          <w:b/>
          <w:sz w:val="24"/>
          <w:szCs w:val="24"/>
        </w:rPr>
        <w:t xml:space="preserve">Zukunftsforscher </w:t>
      </w:r>
      <w:r>
        <w:rPr>
          <w:rFonts w:cs="Arial"/>
          <w:b/>
          <w:sz w:val="24"/>
          <w:szCs w:val="24"/>
        </w:rPr>
        <w:t xml:space="preserve">Ray Hammond veröffentlicht Allianz Partners am 25. Juni den ersten </w:t>
      </w:r>
      <w:r w:rsidR="0004121B">
        <w:rPr>
          <w:rFonts w:cs="Arial"/>
          <w:b/>
          <w:sz w:val="24"/>
          <w:szCs w:val="24"/>
        </w:rPr>
        <w:t xml:space="preserve">Auszug </w:t>
      </w:r>
      <w:r>
        <w:rPr>
          <w:rFonts w:cs="Arial"/>
          <w:b/>
          <w:sz w:val="24"/>
          <w:szCs w:val="24"/>
        </w:rPr>
        <w:t>des</w:t>
      </w:r>
      <w:r w:rsidR="0004121B">
        <w:rPr>
          <w:rFonts w:cs="Arial"/>
          <w:b/>
          <w:sz w:val="24"/>
          <w:szCs w:val="24"/>
        </w:rPr>
        <w:t xml:space="preserve"> Berichts „The World in 2040“. </w:t>
      </w:r>
      <w:r w:rsidR="00BD56C4">
        <w:rPr>
          <w:rFonts w:cs="Arial"/>
          <w:b/>
          <w:sz w:val="24"/>
          <w:szCs w:val="24"/>
        </w:rPr>
        <w:t xml:space="preserve">Dieser </w:t>
      </w:r>
      <w:r w:rsidR="00F90FA1">
        <w:rPr>
          <w:rFonts w:cs="Arial"/>
          <w:b/>
          <w:sz w:val="24"/>
          <w:szCs w:val="24"/>
        </w:rPr>
        <w:t>umfasst</w:t>
      </w:r>
      <w:r w:rsidR="0004121B">
        <w:rPr>
          <w:rFonts w:cs="Arial"/>
          <w:b/>
          <w:sz w:val="24"/>
          <w:szCs w:val="24"/>
        </w:rPr>
        <w:t xml:space="preserve"> </w:t>
      </w:r>
      <w:r w:rsidR="00F90FA1">
        <w:rPr>
          <w:rFonts w:cs="Arial"/>
          <w:b/>
          <w:sz w:val="24"/>
          <w:szCs w:val="24"/>
        </w:rPr>
        <w:t xml:space="preserve">in </w:t>
      </w:r>
      <w:r w:rsidR="0004121B">
        <w:rPr>
          <w:rFonts w:cs="Arial"/>
          <w:b/>
          <w:sz w:val="24"/>
          <w:szCs w:val="24"/>
        </w:rPr>
        <w:t>insgesamt vier Teilen Trendprognosen</w:t>
      </w:r>
      <w:r>
        <w:rPr>
          <w:rFonts w:cs="Arial"/>
          <w:b/>
          <w:sz w:val="24"/>
          <w:szCs w:val="24"/>
        </w:rPr>
        <w:t xml:space="preserve"> </w:t>
      </w:r>
      <w:r w:rsidR="00ED084A">
        <w:rPr>
          <w:rFonts w:cs="Arial"/>
          <w:b/>
          <w:sz w:val="24"/>
          <w:szCs w:val="24"/>
        </w:rPr>
        <w:t>für die</w:t>
      </w:r>
      <w:r w:rsidR="00BD56C4">
        <w:rPr>
          <w:rFonts w:cs="Arial"/>
          <w:b/>
          <w:sz w:val="24"/>
          <w:szCs w:val="24"/>
        </w:rPr>
        <w:t xml:space="preserve"> </w:t>
      </w:r>
      <w:r w:rsidR="00F90FA1">
        <w:rPr>
          <w:rFonts w:cs="Arial"/>
          <w:b/>
          <w:sz w:val="24"/>
          <w:szCs w:val="24"/>
        </w:rPr>
        <w:t>B</w:t>
      </w:r>
      <w:r w:rsidRPr="00845D21">
        <w:rPr>
          <w:rFonts w:cs="Arial"/>
          <w:b/>
          <w:sz w:val="24"/>
          <w:szCs w:val="24"/>
        </w:rPr>
        <w:t>ereiche Gesundhei</w:t>
      </w:r>
      <w:r>
        <w:rPr>
          <w:rFonts w:cs="Arial"/>
          <w:b/>
          <w:sz w:val="24"/>
          <w:szCs w:val="24"/>
        </w:rPr>
        <w:t>t, Wohnen, Mobilität und Reisen</w:t>
      </w:r>
      <w:r w:rsidR="00923002">
        <w:rPr>
          <w:rFonts w:cs="Arial"/>
          <w:b/>
          <w:sz w:val="24"/>
          <w:szCs w:val="24"/>
        </w:rPr>
        <w:t>. D</w:t>
      </w:r>
      <w:r w:rsidR="00BD56C4">
        <w:rPr>
          <w:rFonts w:cs="Arial"/>
          <w:b/>
          <w:sz w:val="24"/>
          <w:szCs w:val="24"/>
        </w:rPr>
        <w:t>ie Erkenntnisse daraus helfen</w:t>
      </w:r>
      <w:r w:rsidR="00923002">
        <w:rPr>
          <w:rFonts w:cs="Arial"/>
          <w:b/>
          <w:sz w:val="24"/>
          <w:szCs w:val="24"/>
        </w:rPr>
        <w:t xml:space="preserve"> Allianz Partners</w:t>
      </w:r>
      <w:r w:rsidR="00BD56C4">
        <w:rPr>
          <w:rFonts w:cs="Arial"/>
          <w:b/>
          <w:sz w:val="24"/>
          <w:szCs w:val="24"/>
        </w:rPr>
        <w:t>,</w:t>
      </w:r>
      <w:r w:rsidR="00573D5D">
        <w:rPr>
          <w:rFonts w:cs="Arial"/>
          <w:b/>
          <w:sz w:val="24"/>
          <w:szCs w:val="24"/>
        </w:rPr>
        <w:t xml:space="preserve"> jetzt </w:t>
      </w:r>
      <w:r w:rsidR="003471C6">
        <w:rPr>
          <w:rFonts w:cs="Arial"/>
          <w:b/>
          <w:sz w:val="24"/>
          <w:szCs w:val="24"/>
        </w:rPr>
        <w:t>schon</w:t>
      </w:r>
      <w:r w:rsidR="00973E53">
        <w:rPr>
          <w:rFonts w:cs="Arial"/>
          <w:b/>
          <w:sz w:val="24"/>
          <w:szCs w:val="24"/>
        </w:rPr>
        <w:t xml:space="preserve"> </w:t>
      </w:r>
      <w:r w:rsidR="003471C6">
        <w:rPr>
          <w:rFonts w:cs="Arial"/>
          <w:b/>
          <w:sz w:val="24"/>
          <w:szCs w:val="24"/>
        </w:rPr>
        <w:t xml:space="preserve">Angebote </w:t>
      </w:r>
      <w:r w:rsidR="00BD56C4">
        <w:rPr>
          <w:rFonts w:cs="Arial"/>
          <w:b/>
          <w:sz w:val="24"/>
          <w:szCs w:val="24"/>
        </w:rPr>
        <w:t xml:space="preserve">zu </w:t>
      </w:r>
      <w:r w:rsidR="00573D5D">
        <w:rPr>
          <w:rFonts w:cs="Arial"/>
          <w:b/>
          <w:sz w:val="24"/>
          <w:szCs w:val="24"/>
        </w:rPr>
        <w:t xml:space="preserve">entwickeln, </w:t>
      </w:r>
      <w:r w:rsidR="003471C6">
        <w:rPr>
          <w:rFonts w:cs="Arial"/>
          <w:b/>
          <w:sz w:val="24"/>
          <w:szCs w:val="24"/>
        </w:rPr>
        <w:t>die</w:t>
      </w:r>
      <w:r w:rsidR="00573D5D">
        <w:rPr>
          <w:rFonts w:cs="Arial"/>
          <w:b/>
          <w:sz w:val="24"/>
          <w:szCs w:val="24"/>
        </w:rPr>
        <w:t xml:space="preserve"> Kunde</w:t>
      </w:r>
      <w:r w:rsidR="003471C6">
        <w:rPr>
          <w:rFonts w:cs="Arial"/>
          <w:b/>
          <w:sz w:val="24"/>
          <w:szCs w:val="24"/>
        </w:rPr>
        <w:t>n</w:t>
      </w:r>
      <w:r w:rsidR="00573D5D">
        <w:rPr>
          <w:rFonts w:cs="Arial"/>
          <w:b/>
          <w:sz w:val="24"/>
          <w:szCs w:val="24"/>
        </w:rPr>
        <w:t xml:space="preserve"> </w:t>
      </w:r>
      <w:r w:rsidR="0004121B">
        <w:rPr>
          <w:rFonts w:cs="Arial"/>
          <w:b/>
          <w:sz w:val="24"/>
          <w:szCs w:val="24"/>
        </w:rPr>
        <w:t>in</w:t>
      </w:r>
      <w:r w:rsidR="00573D5D">
        <w:rPr>
          <w:rFonts w:cs="Arial"/>
          <w:b/>
          <w:sz w:val="24"/>
          <w:szCs w:val="24"/>
        </w:rPr>
        <w:t xml:space="preserve"> Zukunft b</w:t>
      </w:r>
      <w:r w:rsidR="003471C6">
        <w:rPr>
          <w:rFonts w:cs="Arial"/>
          <w:b/>
          <w:sz w:val="24"/>
          <w:szCs w:val="24"/>
        </w:rPr>
        <w:t>enötigen</w:t>
      </w:r>
      <w:r w:rsidR="00573D5D">
        <w:rPr>
          <w:rFonts w:cs="Arial"/>
          <w:b/>
          <w:sz w:val="24"/>
          <w:szCs w:val="24"/>
        </w:rPr>
        <w:t xml:space="preserve">. </w:t>
      </w:r>
    </w:p>
    <w:p w14:paraId="6088371A" w14:textId="168B2D10" w:rsidR="004A223E" w:rsidRDefault="002A2423" w:rsidP="00F90FA1">
      <w:pPr>
        <w:tabs>
          <w:tab w:val="left" w:pos="7371"/>
        </w:tabs>
        <w:spacing w:after="120" w:line="360" w:lineRule="auto"/>
        <w:jc w:val="both"/>
        <w:rPr>
          <w:rFonts w:cs="Arial"/>
          <w:sz w:val="24"/>
          <w:szCs w:val="24"/>
        </w:rPr>
      </w:pPr>
      <w:r>
        <w:rPr>
          <w:rFonts w:cs="Arial"/>
          <w:sz w:val="24"/>
          <w:szCs w:val="24"/>
        </w:rPr>
        <w:t>München, 6</w:t>
      </w:r>
      <w:r w:rsidR="00845D21" w:rsidRPr="00845D21">
        <w:rPr>
          <w:rFonts w:cs="Arial"/>
          <w:sz w:val="24"/>
          <w:szCs w:val="24"/>
        </w:rPr>
        <w:t>. Juni</w:t>
      </w:r>
      <w:r w:rsidR="00271CE4">
        <w:rPr>
          <w:rFonts w:cs="Arial"/>
          <w:sz w:val="24"/>
          <w:szCs w:val="24"/>
        </w:rPr>
        <w:t xml:space="preserve"> 2019</w:t>
      </w:r>
      <w:r w:rsidR="00D0788E">
        <w:rPr>
          <w:rFonts w:cs="Arial"/>
          <w:sz w:val="24"/>
          <w:szCs w:val="24"/>
        </w:rPr>
        <w:t>.</w:t>
      </w:r>
      <w:r w:rsidR="00845D21" w:rsidRPr="00845D21">
        <w:rPr>
          <w:rFonts w:cs="Arial"/>
          <w:sz w:val="24"/>
          <w:szCs w:val="24"/>
        </w:rPr>
        <w:t xml:space="preserve"> In welche Richtung sich einige der wichtigsten Lebensbereiche </w:t>
      </w:r>
      <w:r w:rsidR="00554735">
        <w:rPr>
          <w:rFonts w:cs="Arial"/>
          <w:sz w:val="24"/>
          <w:szCs w:val="24"/>
        </w:rPr>
        <w:t xml:space="preserve">in Zukunft </w:t>
      </w:r>
      <w:r w:rsidR="00845D21" w:rsidRPr="00845D21">
        <w:rPr>
          <w:rFonts w:cs="Arial"/>
          <w:sz w:val="24"/>
          <w:szCs w:val="24"/>
        </w:rPr>
        <w:t>bewegen</w:t>
      </w:r>
      <w:r w:rsidR="00554735">
        <w:rPr>
          <w:rFonts w:cs="Arial"/>
          <w:sz w:val="24"/>
          <w:szCs w:val="24"/>
        </w:rPr>
        <w:t xml:space="preserve"> werden</w:t>
      </w:r>
      <w:r w:rsidR="00845D21" w:rsidRPr="00845D21">
        <w:rPr>
          <w:rFonts w:cs="Arial"/>
          <w:sz w:val="24"/>
          <w:szCs w:val="24"/>
        </w:rPr>
        <w:t xml:space="preserve">, </w:t>
      </w:r>
      <w:r w:rsidR="003B26B1">
        <w:rPr>
          <w:rFonts w:cs="Arial"/>
          <w:sz w:val="24"/>
          <w:szCs w:val="24"/>
        </w:rPr>
        <w:t xml:space="preserve">möchte </w:t>
      </w:r>
      <w:r w:rsidR="00845D21" w:rsidRPr="003B26B1">
        <w:rPr>
          <w:rFonts w:cs="Arial"/>
          <w:sz w:val="24"/>
          <w:szCs w:val="24"/>
        </w:rPr>
        <w:t>Allianz Partners schon jet</w:t>
      </w:r>
      <w:r w:rsidR="0015099B" w:rsidRPr="003B26B1">
        <w:rPr>
          <w:rFonts w:cs="Arial"/>
          <w:sz w:val="24"/>
          <w:szCs w:val="24"/>
        </w:rPr>
        <w:t>zt</w:t>
      </w:r>
      <w:r w:rsidR="003B26B1">
        <w:rPr>
          <w:rFonts w:cs="Arial"/>
          <w:sz w:val="24"/>
          <w:szCs w:val="24"/>
        </w:rPr>
        <w:t xml:space="preserve"> wissen:</w:t>
      </w:r>
      <w:r w:rsidR="0015099B">
        <w:rPr>
          <w:rFonts w:cs="Arial"/>
          <w:sz w:val="24"/>
          <w:szCs w:val="24"/>
        </w:rPr>
        <w:t xml:space="preserve"> Mit </w:t>
      </w:r>
      <w:r w:rsidR="00C11D1D">
        <w:rPr>
          <w:rFonts w:cs="Arial"/>
          <w:sz w:val="24"/>
          <w:szCs w:val="24"/>
        </w:rPr>
        <w:t>dem Bericht</w:t>
      </w:r>
      <w:r w:rsidR="0015099B">
        <w:rPr>
          <w:rFonts w:cs="Arial"/>
          <w:sz w:val="24"/>
          <w:szCs w:val="24"/>
        </w:rPr>
        <w:t xml:space="preserve"> „</w:t>
      </w:r>
      <w:r w:rsidR="00845D21" w:rsidRPr="00845D21">
        <w:rPr>
          <w:rFonts w:cs="Arial"/>
          <w:sz w:val="24"/>
          <w:szCs w:val="24"/>
        </w:rPr>
        <w:t xml:space="preserve">The World in 2040" </w:t>
      </w:r>
      <w:r w:rsidR="00ED084A">
        <w:rPr>
          <w:rFonts w:cs="Arial"/>
          <w:sz w:val="24"/>
          <w:szCs w:val="24"/>
        </w:rPr>
        <w:t>kann</w:t>
      </w:r>
      <w:r w:rsidR="00C11D1D">
        <w:rPr>
          <w:rFonts w:cs="Arial"/>
          <w:sz w:val="24"/>
          <w:szCs w:val="24"/>
        </w:rPr>
        <w:t xml:space="preserve"> </w:t>
      </w:r>
      <w:r w:rsidR="00ED084A">
        <w:rPr>
          <w:rFonts w:cs="Arial"/>
          <w:sz w:val="24"/>
          <w:szCs w:val="24"/>
        </w:rPr>
        <w:t xml:space="preserve">das Unternehmen </w:t>
      </w:r>
      <w:r w:rsidR="003471C6">
        <w:rPr>
          <w:rFonts w:cs="Arial"/>
          <w:sz w:val="24"/>
          <w:szCs w:val="24"/>
        </w:rPr>
        <w:t>Kundenb</w:t>
      </w:r>
      <w:r w:rsidR="00BE489E" w:rsidRPr="00845D21">
        <w:rPr>
          <w:rFonts w:cs="Arial"/>
          <w:sz w:val="24"/>
          <w:szCs w:val="24"/>
        </w:rPr>
        <w:t xml:space="preserve">edürfnisse antizipieren und </w:t>
      </w:r>
      <w:r w:rsidR="0004121B">
        <w:rPr>
          <w:rFonts w:cs="Arial"/>
          <w:sz w:val="24"/>
          <w:szCs w:val="24"/>
        </w:rPr>
        <w:t xml:space="preserve">der Zeit </w:t>
      </w:r>
      <w:r w:rsidR="00ED084A">
        <w:rPr>
          <w:rFonts w:cs="Arial"/>
          <w:sz w:val="24"/>
          <w:szCs w:val="24"/>
        </w:rPr>
        <w:t xml:space="preserve">proaktiv </w:t>
      </w:r>
      <w:r w:rsidR="0004121B">
        <w:rPr>
          <w:rFonts w:cs="Arial"/>
          <w:sz w:val="24"/>
          <w:szCs w:val="24"/>
        </w:rPr>
        <w:t xml:space="preserve">voraus sein. So </w:t>
      </w:r>
      <w:r w:rsidR="00ED084A">
        <w:rPr>
          <w:rFonts w:cs="Arial"/>
          <w:sz w:val="24"/>
          <w:szCs w:val="24"/>
        </w:rPr>
        <w:t>sind schon heute</w:t>
      </w:r>
      <w:r w:rsidR="003471C6">
        <w:rPr>
          <w:rFonts w:cs="Arial"/>
          <w:sz w:val="24"/>
          <w:szCs w:val="24"/>
        </w:rPr>
        <w:t xml:space="preserve"> </w:t>
      </w:r>
      <w:r w:rsidR="00BE489E" w:rsidRPr="00845D21">
        <w:rPr>
          <w:rFonts w:cs="Arial"/>
          <w:sz w:val="24"/>
          <w:szCs w:val="24"/>
        </w:rPr>
        <w:t>Trends und Innovationen</w:t>
      </w:r>
      <w:r w:rsidR="00ED084A">
        <w:rPr>
          <w:rFonts w:cs="Arial"/>
          <w:sz w:val="24"/>
          <w:szCs w:val="24"/>
        </w:rPr>
        <w:t xml:space="preserve"> </w:t>
      </w:r>
      <w:r w:rsidR="00D65107">
        <w:rPr>
          <w:rFonts w:cs="Arial"/>
          <w:sz w:val="24"/>
          <w:szCs w:val="24"/>
        </w:rPr>
        <w:t>absehbar</w:t>
      </w:r>
      <w:r w:rsidR="00BE489E" w:rsidRPr="00845D21">
        <w:rPr>
          <w:rFonts w:cs="Arial"/>
          <w:sz w:val="24"/>
          <w:szCs w:val="24"/>
        </w:rPr>
        <w:t xml:space="preserve">, die sich </w:t>
      </w:r>
      <w:r w:rsidR="00ED084A">
        <w:rPr>
          <w:rFonts w:cs="Arial"/>
          <w:sz w:val="24"/>
          <w:szCs w:val="24"/>
        </w:rPr>
        <w:t xml:space="preserve">langfristig </w:t>
      </w:r>
      <w:r w:rsidR="00BE489E" w:rsidRPr="00845D21">
        <w:rPr>
          <w:rFonts w:cs="Arial"/>
          <w:sz w:val="24"/>
          <w:szCs w:val="24"/>
        </w:rPr>
        <w:t xml:space="preserve">auf </w:t>
      </w:r>
      <w:r w:rsidR="00C11D1D">
        <w:rPr>
          <w:rFonts w:cs="Arial"/>
          <w:sz w:val="24"/>
          <w:szCs w:val="24"/>
        </w:rPr>
        <w:t xml:space="preserve">die eigenen </w:t>
      </w:r>
      <w:r w:rsidR="005D77B7">
        <w:rPr>
          <w:rFonts w:cs="Arial"/>
          <w:sz w:val="24"/>
          <w:szCs w:val="24"/>
        </w:rPr>
        <w:t>Angebote</w:t>
      </w:r>
      <w:r w:rsidR="005D77B7" w:rsidRPr="00845D21">
        <w:rPr>
          <w:rFonts w:cs="Arial"/>
          <w:sz w:val="24"/>
          <w:szCs w:val="24"/>
        </w:rPr>
        <w:t xml:space="preserve"> </w:t>
      </w:r>
      <w:r w:rsidR="00BE489E" w:rsidRPr="00845D21">
        <w:rPr>
          <w:rFonts w:cs="Arial"/>
          <w:sz w:val="24"/>
          <w:szCs w:val="24"/>
        </w:rPr>
        <w:t>auswirken werden.</w:t>
      </w:r>
      <w:r w:rsidR="00C11D1D">
        <w:rPr>
          <w:rFonts w:cs="Arial"/>
          <w:sz w:val="24"/>
          <w:szCs w:val="24"/>
        </w:rPr>
        <w:t xml:space="preserve"> </w:t>
      </w:r>
      <w:r w:rsidR="00EA1067">
        <w:rPr>
          <w:rFonts w:cs="Arial"/>
          <w:sz w:val="24"/>
          <w:szCs w:val="24"/>
        </w:rPr>
        <w:t>Als</w:t>
      </w:r>
      <w:r w:rsidR="002C24D2" w:rsidRPr="00F90FA1">
        <w:rPr>
          <w:rFonts w:cs="Arial"/>
          <w:sz w:val="24"/>
          <w:szCs w:val="24"/>
        </w:rPr>
        <w:t xml:space="preserve"> </w:t>
      </w:r>
      <w:r w:rsidR="00F90FA1" w:rsidRPr="00F90FA1">
        <w:rPr>
          <w:rFonts w:cs="Arial"/>
          <w:sz w:val="24"/>
          <w:szCs w:val="24"/>
        </w:rPr>
        <w:t>B2B2C-Marktführer im Bereich Assistance und Versicherungslösungen</w:t>
      </w:r>
      <w:r w:rsidR="002C24D2">
        <w:rPr>
          <w:rFonts w:cs="Arial"/>
          <w:sz w:val="24"/>
          <w:szCs w:val="24"/>
        </w:rPr>
        <w:t xml:space="preserve"> hat Allianz Partners vor allem die vier Kernbereiche seiner Expertise</w:t>
      </w:r>
      <w:r w:rsidR="005D77B7">
        <w:rPr>
          <w:rFonts w:cs="Arial"/>
          <w:sz w:val="24"/>
          <w:szCs w:val="24"/>
        </w:rPr>
        <w:t xml:space="preserve"> – </w:t>
      </w:r>
      <w:r w:rsidR="00EA1067" w:rsidRPr="00845D21">
        <w:rPr>
          <w:rFonts w:cs="Arial"/>
          <w:sz w:val="24"/>
          <w:szCs w:val="24"/>
        </w:rPr>
        <w:t>Gesundheit, Wohnen, Mobilität und Reisen</w:t>
      </w:r>
      <w:r w:rsidR="005D77B7">
        <w:rPr>
          <w:rFonts w:cs="Arial"/>
          <w:sz w:val="24"/>
          <w:szCs w:val="24"/>
        </w:rPr>
        <w:t xml:space="preserve"> – </w:t>
      </w:r>
      <w:r w:rsidR="002C24D2">
        <w:rPr>
          <w:rFonts w:cs="Arial"/>
          <w:sz w:val="24"/>
          <w:szCs w:val="24"/>
        </w:rPr>
        <w:t>untersuchen lassen.</w:t>
      </w:r>
    </w:p>
    <w:p w14:paraId="73BE8E82" w14:textId="3F175C31" w:rsidR="00271CE4" w:rsidRDefault="00271CE4" w:rsidP="000A1A65">
      <w:pPr>
        <w:tabs>
          <w:tab w:val="left" w:pos="7371"/>
        </w:tabs>
        <w:spacing w:after="120" w:line="360" w:lineRule="auto"/>
        <w:jc w:val="both"/>
        <w:rPr>
          <w:rFonts w:cs="Arial"/>
          <w:sz w:val="24"/>
          <w:szCs w:val="24"/>
        </w:rPr>
      </w:pPr>
    </w:p>
    <w:p w14:paraId="7E389BC3" w14:textId="3523128A" w:rsidR="00876416" w:rsidRPr="001C73E8" w:rsidRDefault="00876416" w:rsidP="000A1A65">
      <w:pPr>
        <w:tabs>
          <w:tab w:val="left" w:pos="7371"/>
        </w:tabs>
        <w:spacing w:after="120" w:line="360" w:lineRule="auto"/>
        <w:jc w:val="both"/>
        <w:rPr>
          <w:rFonts w:cs="Arial"/>
          <w:b/>
          <w:bCs w:val="0"/>
          <w:sz w:val="24"/>
          <w:szCs w:val="24"/>
        </w:rPr>
      </w:pPr>
      <w:r w:rsidRPr="001C73E8">
        <w:rPr>
          <w:rFonts w:cs="Arial"/>
          <w:b/>
          <w:bCs w:val="0"/>
          <w:sz w:val="24"/>
          <w:szCs w:val="24"/>
        </w:rPr>
        <w:t xml:space="preserve">Veränderungen in den </w:t>
      </w:r>
      <w:r w:rsidR="00D65107">
        <w:rPr>
          <w:rFonts w:cs="Arial"/>
          <w:b/>
          <w:bCs w:val="0"/>
          <w:sz w:val="24"/>
          <w:szCs w:val="24"/>
        </w:rPr>
        <w:t xml:space="preserve">Bereichen </w:t>
      </w:r>
      <w:r w:rsidR="002F36B1" w:rsidRPr="00845D21">
        <w:rPr>
          <w:rFonts w:cs="Arial"/>
          <w:b/>
          <w:sz w:val="24"/>
          <w:szCs w:val="24"/>
        </w:rPr>
        <w:t>Gesundhei</w:t>
      </w:r>
      <w:r w:rsidR="002F36B1">
        <w:rPr>
          <w:rFonts w:cs="Arial"/>
          <w:b/>
          <w:sz w:val="24"/>
          <w:szCs w:val="24"/>
        </w:rPr>
        <w:t>t, Wohnen, Mobilität und Reisen</w:t>
      </w:r>
    </w:p>
    <w:p w14:paraId="0538E2EB" w14:textId="174F2CA0" w:rsidR="00271CE4" w:rsidRDefault="00845D21" w:rsidP="0004121B">
      <w:pPr>
        <w:tabs>
          <w:tab w:val="left" w:pos="7371"/>
        </w:tabs>
        <w:spacing w:after="120" w:line="360" w:lineRule="auto"/>
        <w:jc w:val="both"/>
        <w:rPr>
          <w:rFonts w:cs="Arial"/>
          <w:sz w:val="24"/>
          <w:szCs w:val="24"/>
        </w:rPr>
      </w:pPr>
      <w:r w:rsidRPr="00845D21">
        <w:rPr>
          <w:rFonts w:cs="Arial"/>
          <w:sz w:val="24"/>
          <w:szCs w:val="24"/>
        </w:rPr>
        <w:t xml:space="preserve">Die </w:t>
      </w:r>
      <w:r w:rsidR="003471C6">
        <w:rPr>
          <w:rFonts w:cs="Arial"/>
          <w:sz w:val="24"/>
          <w:szCs w:val="24"/>
        </w:rPr>
        <w:t>Studie</w:t>
      </w:r>
      <w:r w:rsidR="003471C6" w:rsidRPr="00845D21">
        <w:rPr>
          <w:rFonts w:cs="Arial"/>
          <w:sz w:val="24"/>
          <w:szCs w:val="24"/>
        </w:rPr>
        <w:t xml:space="preserve"> </w:t>
      </w:r>
      <w:r w:rsidRPr="00845D21">
        <w:rPr>
          <w:rFonts w:cs="Arial"/>
          <w:sz w:val="24"/>
          <w:szCs w:val="24"/>
        </w:rPr>
        <w:t>untersucht eine Vielzahl von Zukunftstrends und -</w:t>
      </w:r>
      <w:r w:rsidR="00923002">
        <w:rPr>
          <w:rFonts w:cs="Arial"/>
          <w:sz w:val="24"/>
          <w:szCs w:val="24"/>
        </w:rPr>
        <w:t>t</w:t>
      </w:r>
      <w:r w:rsidRPr="00845D21">
        <w:rPr>
          <w:rFonts w:cs="Arial"/>
          <w:sz w:val="24"/>
          <w:szCs w:val="24"/>
        </w:rPr>
        <w:t xml:space="preserve">hemen, die sich in den nächsten </w:t>
      </w:r>
      <w:r w:rsidR="00271CE4">
        <w:rPr>
          <w:rFonts w:cs="Arial"/>
          <w:sz w:val="24"/>
          <w:szCs w:val="24"/>
        </w:rPr>
        <w:t>zwanzig</w:t>
      </w:r>
      <w:r w:rsidR="00271CE4" w:rsidRPr="00845D21">
        <w:rPr>
          <w:rFonts w:cs="Arial"/>
          <w:sz w:val="24"/>
          <w:szCs w:val="24"/>
        </w:rPr>
        <w:t xml:space="preserve"> </w:t>
      </w:r>
      <w:r w:rsidRPr="00845D21">
        <w:rPr>
          <w:rFonts w:cs="Arial"/>
          <w:sz w:val="24"/>
          <w:szCs w:val="24"/>
        </w:rPr>
        <w:t>Jahren auf Gesundheit, Wohnen, Mobilität und Reisen auswirken</w:t>
      </w:r>
      <w:r w:rsidR="00D65107">
        <w:rPr>
          <w:rFonts w:cs="Arial"/>
          <w:sz w:val="24"/>
          <w:szCs w:val="24"/>
        </w:rPr>
        <w:t xml:space="preserve"> werden</w:t>
      </w:r>
      <w:r w:rsidR="0004121B">
        <w:rPr>
          <w:rFonts w:cs="Arial"/>
          <w:sz w:val="24"/>
          <w:szCs w:val="24"/>
        </w:rPr>
        <w:t xml:space="preserve">. Dazu gehören beispielsweise </w:t>
      </w:r>
      <w:r w:rsidRPr="00845D21">
        <w:rPr>
          <w:rFonts w:cs="Arial"/>
          <w:sz w:val="24"/>
          <w:szCs w:val="24"/>
        </w:rPr>
        <w:t>Roboter und Automatisierung</w:t>
      </w:r>
      <w:r w:rsidR="0004121B">
        <w:rPr>
          <w:rFonts w:cs="Arial"/>
          <w:sz w:val="24"/>
          <w:szCs w:val="24"/>
        </w:rPr>
        <w:t>, die</w:t>
      </w:r>
      <w:r w:rsidRPr="00845D21">
        <w:rPr>
          <w:rFonts w:cs="Arial"/>
          <w:sz w:val="24"/>
          <w:szCs w:val="24"/>
        </w:rPr>
        <w:t xml:space="preserve"> den Alltag </w:t>
      </w:r>
      <w:r w:rsidR="00D65107">
        <w:rPr>
          <w:rFonts w:cs="Arial"/>
          <w:sz w:val="24"/>
          <w:szCs w:val="24"/>
        </w:rPr>
        <w:t>im</w:t>
      </w:r>
      <w:r w:rsidR="00271CE4">
        <w:rPr>
          <w:rFonts w:cs="Arial"/>
          <w:sz w:val="24"/>
          <w:szCs w:val="24"/>
        </w:rPr>
        <w:t xml:space="preserve"> Arbeit</w:t>
      </w:r>
      <w:r w:rsidR="00D65107">
        <w:rPr>
          <w:rFonts w:cs="Arial"/>
          <w:sz w:val="24"/>
          <w:szCs w:val="24"/>
        </w:rPr>
        <w:t>sleben</w:t>
      </w:r>
      <w:r w:rsidR="00271CE4">
        <w:rPr>
          <w:rFonts w:cs="Arial"/>
          <w:sz w:val="24"/>
          <w:szCs w:val="24"/>
        </w:rPr>
        <w:t xml:space="preserve"> und </w:t>
      </w:r>
      <w:r w:rsidR="00D65107">
        <w:rPr>
          <w:rFonts w:cs="Arial"/>
          <w:sz w:val="24"/>
          <w:szCs w:val="24"/>
        </w:rPr>
        <w:t>z</w:t>
      </w:r>
      <w:r w:rsidR="00271CE4">
        <w:rPr>
          <w:rFonts w:cs="Arial"/>
          <w:sz w:val="24"/>
          <w:szCs w:val="24"/>
        </w:rPr>
        <w:t>uhause verändern werden</w:t>
      </w:r>
      <w:r w:rsidRPr="00845D21">
        <w:rPr>
          <w:rFonts w:cs="Arial"/>
          <w:sz w:val="24"/>
          <w:szCs w:val="24"/>
        </w:rPr>
        <w:t xml:space="preserve">, </w:t>
      </w:r>
      <w:r w:rsidR="0004121B">
        <w:rPr>
          <w:rFonts w:cs="Arial"/>
          <w:sz w:val="24"/>
          <w:szCs w:val="24"/>
        </w:rPr>
        <w:t>sowie</w:t>
      </w:r>
      <w:r w:rsidRPr="00845D21">
        <w:rPr>
          <w:rFonts w:cs="Arial"/>
          <w:sz w:val="24"/>
          <w:szCs w:val="24"/>
        </w:rPr>
        <w:t xml:space="preserve"> unterschiedliche medizinische Entwicklungen</w:t>
      </w:r>
      <w:r w:rsidR="0004121B">
        <w:rPr>
          <w:rFonts w:cs="Arial"/>
          <w:sz w:val="24"/>
          <w:szCs w:val="24"/>
        </w:rPr>
        <w:t>. Auch</w:t>
      </w:r>
      <w:r w:rsidRPr="00845D21">
        <w:rPr>
          <w:rFonts w:cs="Arial"/>
          <w:sz w:val="24"/>
          <w:szCs w:val="24"/>
        </w:rPr>
        <w:t xml:space="preserve"> </w:t>
      </w:r>
      <w:r w:rsidR="0004121B">
        <w:rPr>
          <w:rFonts w:cs="Arial"/>
          <w:sz w:val="24"/>
          <w:szCs w:val="24"/>
        </w:rPr>
        <w:t xml:space="preserve">die Auswirkung von </w:t>
      </w:r>
      <w:r w:rsidRPr="00845D21">
        <w:rPr>
          <w:rFonts w:cs="Arial"/>
          <w:sz w:val="24"/>
          <w:szCs w:val="24"/>
        </w:rPr>
        <w:t>fahrerlose</w:t>
      </w:r>
      <w:r w:rsidR="0004121B">
        <w:rPr>
          <w:rFonts w:cs="Arial"/>
          <w:sz w:val="24"/>
          <w:szCs w:val="24"/>
        </w:rPr>
        <w:t>n</w:t>
      </w:r>
      <w:r w:rsidRPr="00845D21">
        <w:rPr>
          <w:rFonts w:cs="Arial"/>
          <w:sz w:val="24"/>
          <w:szCs w:val="24"/>
        </w:rPr>
        <w:t xml:space="preserve"> Autos, Züge</w:t>
      </w:r>
      <w:r w:rsidR="0004121B">
        <w:rPr>
          <w:rFonts w:cs="Arial"/>
          <w:sz w:val="24"/>
          <w:szCs w:val="24"/>
        </w:rPr>
        <w:t>n</w:t>
      </w:r>
      <w:r w:rsidRPr="00845D21">
        <w:rPr>
          <w:rFonts w:cs="Arial"/>
          <w:sz w:val="24"/>
          <w:szCs w:val="24"/>
        </w:rPr>
        <w:t xml:space="preserve"> und Flugzeuge</w:t>
      </w:r>
      <w:r w:rsidR="0004121B">
        <w:rPr>
          <w:rFonts w:cs="Arial"/>
          <w:sz w:val="24"/>
          <w:szCs w:val="24"/>
        </w:rPr>
        <w:t>n</w:t>
      </w:r>
      <w:r w:rsidRPr="00845D21">
        <w:rPr>
          <w:rFonts w:cs="Arial"/>
          <w:sz w:val="24"/>
          <w:szCs w:val="24"/>
        </w:rPr>
        <w:t xml:space="preserve"> auf </w:t>
      </w:r>
      <w:r w:rsidR="00D65107">
        <w:rPr>
          <w:rFonts w:cs="Arial"/>
          <w:sz w:val="24"/>
          <w:szCs w:val="24"/>
        </w:rPr>
        <w:t>den Alltag</w:t>
      </w:r>
      <w:r w:rsidRPr="00845D21">
        <w:rPr>
          <w:rFonts w:cs="Arial"/>
          <w:sz w:val="24"/>
          <w:szCs w:val="24"/>
        </w:rPr>
        <w:t xml:space="preserve"> </w:t>
      </w:r>
      <w:r w:rsidR="0004121B">
        <w:rPr>
          <w:rFonts w:cs="Arial"/>
          <w:sz w:val="24"/>
          <w:szCs w:val="24"/>
        </w:rPr>
        <w:t>und</w:t>
      </w:r>
      <w:r w:rsidRPr="00845D21">
        <w:rPr>
          <w:rFonts w:cs="Arial"/>
          <w:sz w:val="24"/>
          <w:szCs w:val="24"/>
        </w:rPr>
        <w:t xml:space="preserve"> die Gesellschaft </w:t>
      </w:r>
      <w:r w:rsidR="0004121B">
        <w:rPr>
          <w:rFonts w:cs="Arial"/>
          <w:sz w:val="24"/>
          <w:szCs w:val="24"/>
        </w:rPr>
        <w:t>wird untersucht</w:t>
      </w:r>
      <w:r w:rsidRPr="00845D21">
        <w:rPr>
          <w:rFonts w:cs="Arial"/>
          <w:sz w:val="24"/>
          <w:szCs w:val="24"/>
        </w:rPr>
        <w:t>.</w:t>
      </w:r>
      <w:r w:rsidR="0015099B">
        <w:rPr>
          <w:rFonts w:cs="Arial"/>
          <w:sz w:val="24"/>
          <w:szCs w:val="24"/>
        </w:rPr>
        <w:t xml:space="preserve"> </w:t>
      </w:r>
    </w:p>
    <w:p w14:paraId="4C9E8A25" w14:textId="14A7F0EF" w:rsidR="00876416" w:rsidRDefault="0004121B" w:rsidP="00876416">
      <w:pPr>
        <w:tabs>
          <w:tab w:val="left" w:pos="7371"/>
        </w:tabs>
        <w:spacing w:after="120" w:line="360" w:lineRule="auto"/>
        <w:jc w:val="both"/>
        <w:rPr>
          <w:rFonts w:cs="Arial"/>
          <w:sz w:val="24"/>
          <w:szCs w:val="24"/>
        </w:rPr>
      </w:pPr>
      <w:r>
        <w:rPr>
          <w:rFonts w:cs="Arial"/>
          <w:sz w:val="24"/>
          <w:szCs w:val="24"/>
        </w:rPr>
        <w:t>Für die Berichts</w:t>
      </w:r>
      <w:r w:rsidR="003471C6">
        <w:rPr>
          <w:rFonts w:cs="Arial"/>
          <w:sz w:val="24"/>
          <w:szCs w:val="24"/>
        </w:rPr>
        <w:t>reihe</w:t>
      </w:r>
      <w:r>
        <w:rPr>
          <w:rFonts w:cs="Arial"/>
          <w:sz w:val="24"/>
          <w:szCs w:val="24"/>
        </w:rPr>
        <w:t xml:space="preserve"> hat d</w:t>
      </w:r>
      <w:r w:rsidR="00C11D1D" w:rsidRPr="00845D21">
        <w:rPr>
          <w:rFonts w:cs="Arial"/>
          <w:sz w:val="24"/>
          <w:szCs w:val="24"/>
        </w:rPr>
        <w:t>ie Gruppe den angesehenen Zukunftsf</w:t>
      </w:r>
      <w:r w:rsidR="00F06B1A">
        <w:rPr>
          <w:rFonts w:cs="Arial"/>
          <w:sz w:val="24"/>
          <w:szCs w:val="24"/>
        </w:rPr>
        <w:t>orscher Ray Hammond beauftragt</w:t>
      </w:r>
      <w:r w:rsidR="003471C6">
        <w:rPr>
          <w:rFonts w:cs="Arial"/>
          <w:sz w:val="24"/>
          <w:szCs w:val="24"/>
        </w:rPr>
        <w:t>.</w:t>
      </w:r>
      <w:r w:rsidR="00C11D1D" w:rsidRPr="00845D21">
        <w:rPr>
          <w:rFonts w:cs="Arial"/>
          <w:sz w:val="24"/>
          <w:szCs w:val="24"/>
        </w:rPr>
        <w:t xml:space="preserve"> </w:t>
      </w:r>
      <w:r w:rsidR="003471C6">
        <w:rPr>
          <w:rFonts w:cs="Arial"/>
          <w:sz w:val="24"/>
          <w:szCs w:val="24"/>
        </w:rPr>
        <w:t>A</w:t>
      </w:r>
      <w:r w:rsidR="00F06B1A">
        <w:rPr>
          <w:rFonts w:cs="Arial"/>
          <w:sz w:val="24"/>
          <w:szCs w:val="24"/>
        </w:rPr>
        <w:t>usschlaggebend war seine</w:t>
      </w:r>
      <w:r w:rsidR="00C11D1D" w:rsidRPr="00845D21">
        <w:rPr>
          <w:rFonts w:cs="Arial"/>
          <w:sz w:val="24"/>
          <w:szCs w:val="24"/>
        </w:rPr>
        <w:t xml:space="preserve"> </w:t>
      </w:r>
      <w:r w:rsidR="003471C6">
        <w:rPr>
          <w:rFonts w:cs="Arial"/>
          <w:sz w:val="24"/>
          <w:szCs w:val="24"/>
        </w:rPr>
        <w:t xml:space="preserve">fast 40-jährige </w:t>
      </w:r>
      <w:r w:rsidR="00C11D1D" w:rsidRPr="00845D21">
        <w:rPr>
          <w:rFonts w:cs="Arial"/>
          <w:sz w:val="24"/>
          <w:szCs w:val="24"/>
        </w:rPr>
        <w:t xml:space="preserve">Erfahrung </w:t>
      </w:r>
      <w:r w:rsidR="003471C6">
        <w:rPr>
          <w:rFonts w:cs="Arial"/>
          <w:sz w:val="24"/>
          <w:szCs w:val="24"/>
        </w:rPr>
        <w:t>in</w:t>
      </w:r>
      <w:r w:rsidR="00C11D1D" w:rsidRPr="00845D21">
        <w:rPr>
          <w:rFonts w:cs="Arial"/>
          <w:sz w:val="24"/>
          <w:szCs w:val="24"/>
        </w:rPr>
        <w:t xml:space="preserve"> der Vorhersage von Trends. </w:t>
      </w:r>
      <w:r w:rsidR="00271CE4">
        <w:rPr>
          <w:rFonts w:cs="Arial"/>
          <w:sz w:val="24"/>
          <w:szCs w:val="24"/>
        </w:rPr>
        <w:t>„The World in 2040“</w:t>
      </w:r>
      <w:r w:rsidR="00C11D1D" w:rsidRPr="00845D21">
        <w:rPr>
          <w:rFonts w:cs="Arial"/>
          <w:sz w:val="24"/>
          <w:szCs w:val="24"/>
        </w:rPr>
        <w:t xml:space="preserve"> </w:t>
      </w:r>
      <w:r w:rsidR="005F2D21">
        <w:rPr>
          <w:rFonts w:cs="Arial"/>
          <w:sz w:val="24"/>
          <w:szCs w:val="24"/>
        </w:rPr>
        <w:t>wird</w:t>
      </w:r>
      <w:r w:rsidR="00C11D1D" w:rsidRPr="00845D21">
        <w:rPr>
          <w:rFonts w:cs="Arial"/>
          <w:sz w:val="24"/>
          <w:szCs w:val="24"/>
        </w:rPr>
        <w:t xml:space="preserve"> in den kommenden Monaten</w:t>
      </w:r>
      <w:r w:rsidR="005F2D21">
        <w:rPr>
          <w:rFonts w:cs="Arial"/>
          <w:sz w:val="24"/>
          <w:szCs w:val="24"/>
        </w:rPr>
        <w:t xml:space="preserve"> darüber </w:t>
      </w:r>
      <w:r w:rsidR="005F2D21">
        <w:rPr>
          <w:rFonts w:cs="Arial"/>
          <w:sz w:val="24"/>
          <w:szCs w:val="24"/>
        </w:rPr>
        <w:lastRenderedPageBreak/>
        <w:t xml:space="preserve">berichten, welche Rolle Schwerpunktthemen der Allianz Partners wie </w:t>
      </w:r>
      <w:r w:rsidR="002F36B1" w:rsidRPr="00845D21">
        <w:rPr>
          <w:rFonts w:cs="Arial"/>
          <w:sz w:val="24"/>
          <w:szCs w:val="24"/>
        </w:rPr>
        <w:t xml:space="preserve">Gesundheit, Wohnen, Mobilität und Reisen </w:t>
      </w:r>
      <w:r w:rsidR="005F2D21">
        <w:rPr>
          <w:rFonts w:cs="Arial"/>
          <w:sz w:val="24"/>
          <w:szCs w:val="24"/>
        </w:rPr>
        <w:t>im Jahr 2040 spielen werden</w:t>
      </w:r>
      <w:r w:rsidR="00271CE4">
        <w:rPr>
          <w:rFonts w:cs="Arial"/>
          <w:sz w:val="24"/>
          <w:szCs w:val="24"/>
        </w:rPr>
        <w:t>.</w:t>
      </w:r>
      <w:r w:rsidR="005F2D21">
        <w:rPr>
          <w:rFonts w:cs="Arial"/>
          <w:sz w:val="24"/>
          <w:szCs w:val="24"/>
        </w:rPr>
        <w:t xml:space="preserve"> </w:t>
      </w:r>
    </w:p>
    <w:p w14:paraId="1B926F37" w14:textId="36DEB509" w:rsidR="004A223E" w:rsidRDefault="009B44D8" w:rsidP="00BD56C4">
      <w:pPr>
        <w:tabs>
          <w:tab w:val="left" w:pos="7371"/>
        </w:tabs>
        <w:spacing w:after="120" w:line="360" w:lineRule="auto"/>
        <w:jc w:val="both"/>
        <w:rPr>
          <w:rFonts w:cs="Arial"/>
          <w:sz w:val="24"/>
          <w:szCs w:val="24"/>
        </w:rPr>
      </w:pPr>
      <w:r w:rsidRPr="00845D21">
        <w:rPr>
          <w:rFonts w:cs="Arial"/>
          <w:sz w:val="24"/>
          <w:szCs w:val="24"/>
        </w:rPr>
        <w:t xml:space="preserve">Der erste Bericht </w:t>
      </w:r>
      <w:r w:rsidR="00BD56C4">
        <w:rPr>
          <w:rFonts w:cs="Arial"/>
          <w:sz w:val="24"/>
          <w:szCs w:val="24"/>
        </w:rPr>
        <w:t>befasst sich</w:t>
      </w:r>
      <w:r w:rsidRPr="00845D21">
        <w:rPr>
          <w:rFonts w:cs="Arial"/>
          <w:sz w:val="24"/>
          <w:szCs w:val="24"/>
        </w:rPr>
        <w:t xml:space="preserve"> </w:t>
      </w:r>
      <w:r w:rsidR="00BD56C4">
        <w:rPr>
          <w:rFonts w:cs="Arial"/>
          <w:sz w:val="24"/>
          <w:szCs w:val="24"/>
        </w:rPr>
        <w:t>mit den in den nächsten zwei Jahrzehn</w:t>
      </w:r>
      <w:r w:rsidR="00271CE4">
        <w:rPr>
          <w:rFonts w:cs="Arial"/>
          <w:sz w:val="24"/>
          <w:szCs w:val="24"/>
        </w:rPr>
        <w:t xml:space="preserve">ten </w:t>
      </w:r>
      <w:r w:rsidR="00BD56C4">
        <w:rPr>
          <w:rFonts w:cs="Arial"/>
          <w:sz w:val="24"/>
          <w:szCs w:val="24"/>
        </w:rPr>
        <w:t>zu</w:t>
      </w:r>
      <w:r w:rsidRPr="00845D21">
        <w:rPr>
          <w:rFonts w:cs="Arial"/>
          <w:sz w:val="24"/>
          <w:szCs w:val="24"/>
        </w:rPr>
        <w:t xml:space="preserve"> erwarte</w:t>
      </w:r>
      <w:r w:rsidR="00BD56C4">
        <w:rPr>
          <w:rFonts w:cs="Arial"/>
          <w:sz w:val="24"/>
          <w:szCs w:val="24"/>
        </w:rPr>
        <w:t>nden</w:t>
      </w:r>
      <w:r w:rsidRPr="00845D21">
        <w:rPr>
          <w:rFonts w:cs="Arial"/>
          <w:sz w:val="24"/>
          <w:szCs w:val="24"/>
        </w:rPr>
        <w:t xml:space="preserve"> Veränderungen in der Gesundheitsversorgung</w:t>
      </w:r>
      <w:r>
        <w:rPr>
          <w:rFonts w:cs="Arial"/>
          <w:sz w:val="24"/>
          <w:szCs w:val="24"/>
        </w:rPr>
        <w:t>.</w:t>
      </w:r>
      <w:r w:rsidRPr="00845D21">
        <w:rPr>
          <w:rFonts w:cs="Arial"/>
          <w:sz w:val="24"/>
          <w:szCs w:val="24"/>
        </w:rPr>
        <w:t xml:space="preserve"> </w:t>
      </w:r>
      <w:r>
        <w:rPr>
          <w:rFonts w:cs="Arial"/>
          <w:sz w:val="24"/>
          <w:szCs w:val="24"/>
        </w:rPr>
        <w:t>Darunter fallen</w:t>
      </w:r>
      <w:r w:rsidRPr="00845D21">
        <w:rPr>
          <w:rFonts w:cs="Arial"/>
          <w:sz w:val="24"/>
          <w:szCs w:val="24"/>
        </w:rPr>
        <w:t xml:space="preserve"> </w:t>
      </w:r>
      <w:r w:rsidR="00271CE4">
        <w:rPr>
          <w:rFonts w:cs="Arial"/>
          <w:sz w:val="24"/>
          <w:szCs w:val="24"/>
        </w:rPr>
        <w:t>deutliche</w:t>
      </w:r>
      <w:r w:rsidR="00271CE4" w:rsidRPr="00845D21">
        <w:rPr>
          <w:rFonts w:cs="Arial"/>
          <w:sz w:val="24"/>
          <w:szCs w:val="24"/>
        </w:rPr>
        <w:t xml:space="preserve"> </w:t>
      </w:r>
      <w:r w:rsidRPr="00845D21">
        <w:rPr>
          <w:rFonts w:cs="Arial"/>
          <w:sz w:val="24"/>
          <w:szCs w:val="24"/>
        </w:rPr>
        <w:t>Verbesserungen bei der Bereitstellung von Behandlungen und beim Zugang zur Gesundheitsversorgung. Es folgt ein Beric</w:t>
      </w:r>
      <w:r>
        <w:rPr>
          <w:rFonts w:cs="Arial"/>
          <w:sz w:val="24"/>
          <w:szCs w:val="24"/>
        </w:rPr>
        <w:t>ht</w:t>
      </w:r>
      <w:r w:rsidR="00BD56C4">
        <w:rPr>
          <w:rFonts w:cs="Arial"/>
          <w:sz w:val="24"/>
          <w:szCs w:val="24"/>
        </w:rPr>
        <w:t xml:space="preserve"> über</w:t>
      </w:r>
      <w:r>
        <w:rPr>
          <w:rFonts w:cs="Arial"/>
          <w:sz w:val="24"/>
          <w:szCs w:val="24"/>
        </w:rPr>
        <w:t xml:space="preserve"> smartes</w:t>
      </w:r>
      <w:r w:rsidRPr="00845D21">
        <w:rPr>
          <w:rFonts w:cs="Arial"/>
          <w:sz w:val="24"/>
          <w:szCs w:val="24"/>
        </w:rPr>
        <w:t xml:space="preserve"> Wohnen</w:t>
      </w:r>
      <w:r w:rsidR="00BD56C4">
        <w:rPr>
          <w:rFonts w:cs="Arial"/>
          <w:sz w:val="24"/>
          <w:szCs w:val="24"/>
        </w:rPr>
        <w:t xml:space="preserve"> und wie dieses</w:t>
      </w:r>
      <w:r w:rsidRPr="00845D21">
        <w:rPr>
          <w:rFonts w:cs="Arial"/>
          <w:sz w:val="24"/>
          <w:szCs w:val="24"/>
        </w:rPr>
        <w:t xml:space="preserve"> das </w:t>
      </w:r>
      <w:r w:rsidR="00BD56C4">
        <w:rPr>
          <w:rFonts w:cs="Arial"/>
          <w:sz w:val="24"/>
          <w:szCs w:val="24"/>
        </w:rPr>
        <w:t xml:space="preserve">Leben im eigenen </w:t>
      </w:r>
      <w:r w:rsidRPr="00845D21">
        <w:rPr>
          <w:rFonts w:cs="Arial"/>
          <w:sz w:val="24"/>
          <w:szCs w:val="24"/>
        </w:rPr>
        <w:t xml:space="preserve">Haus Mitte des 21. Jahrhunderts </w:t>
      </w:r>
      <w:r w:rsidR="000665B1">
        <w:rPr>
          <w:rFonts w:cs="Arial"/>
          <w:sz w:val="24"/>
          <w:szCs w:val="24"/>
        </w:rPr>
        <w:t>beeinflussen</w:t>
      </w:r>
      <w:r w:rsidRPr="00845D21">
        <w:rPr>
          <w:rFonts w:cs="Arial"/>
          <w:sz w:val="24"/>
          <w:szCs w:val="24"/>
        </w:rPr>
        <w:t xml:space="preserve"> wird. Der dritte Bericht der Reihe </w:t>
      </w:r>
      <w:r>
        <w:rPr>
          <w:rFonts w:cs="Arial"/>
          <w:sz w:val="24"/>
          <w:szCs w:val="24"/>
        </w:rPr>
        <w:t>untersucht</w:t>
      </w:r>
      <w:r w:rsidRPr="00845D21">
        <w:rPr>
          <w:rFonts w:cs="Arial"/>
          <w:sz w:val="24"/>
          <w:szCs w:val="24"/>
        </w:rPr>
        <w:t xml:space="preserve"> d</w:t>
      </w:r>
      <w:r w:rsidR="00BD56C4">
        <w:rPr>
          <w:rFonts w:cs="Arial"/>
          <w:sz w:val="24"/>
          <w:szCs w:val="24"/>
        </w:rPr>
        <w:t>en Wandel</w:t>
      </w:r>
      <w:r w:rsidRPr="00845D21">
        <w:rPr>
          <w:rFonts w:cs="Arial"/>
          <w:sz w:val="24"/>
          <w:szCs w:val="24"/>
        </w:rPr>
        <w:t xml:space="preserve"> im Straßenverkehr in den nächsten 20 Jahren. </w:t>
      </w:r>
      <w:r>
        <w:rPr>
          <w:rFonts w:cs="Arial"/>
          <w:sz w:val="24"/>
          <w:szCs w:val="24"/>
        </w:rPr>
        <w:t xml:space="preserve">Der vierte und abschließende Teil </w:t>
      </w:r>
      <w:r w:rsidR="00CE3759">
        <w:rPr>
          <w:rFonts w:cs="Arial"/>
          <w:sz w:val="24"/>
          <w:szCs w:val="24"/>
        </w:rPr>
        <w:t>beinhaltet</w:t>
      </w:r>
      <w:r>
        <w:rPr>
          <w:rFonts w:cs="Arial"/>
          <w:sz w:val="24"/>
          <w:szCs w:val="24"/>
        </w:rPr>
        <w:t xml:space="preserve"> Prognosen, wie sich Geschäfts- und Freizeitreisen</w:t>
      </w:r>
      <w:r w:rsidRPr="00845D21">
        <w:rPr>
          <w:rFonts w:cs="Arial"/>
          <w:sz w:val="24"/>
          <w:szCs w:val="24"/>
        </w:rPr>
        <w:t xml:space="preserve"> in den kommenden Jahrzehnten sowohl in den Industrie- als auch in den Entwicklungsländern </w:t>
      </w:r>
      <w:r w:rsidR="000665B1">
        <w:rPr>
          <w:rFonts w:cs="Arial"/>
          <w:sz w:val="24"/>
          <w:szCs w:val="24"/>
        </w:rPr>
        <w:t>verändern</w:t>
      </w:r>
      <w:r w:rsidRPr="00845D21">
        <w:rPr>
          <w:rFonts w:cs="Arial"/>
          <w:sz w:val="24"/>
          <w:szCs w:val="24"/>
        </w:rPr>
        <w:t xml:space="preserve"> werden.</w:t>
      </w:r>
    </w:p>
    <w:p w14:paraId="3906CA19" w14:textId="5484027D" w:rsidR="00271CE4" w:rsidRDefault="00271CE4" w:rsidP="00BD56C4">
      <w:pPr>
        <w:tabs>
          <w:tab w:val="left" w:pos="7371"/>
        </w:tabs>
        <w:spacing w:after="120" w:line="360" w:lineRule="auto"/>
        <w:jc w:val="both"/>
        <w:rPr>
          <w:rStyle w:val="Kommentarzeichen"/>
        </w:rPr>
      </w:pPr>
    </w:p>
    <w:p w14:paraId="7F9B4EDB" w14:textId="1F67F7DF" w:rsidR="00BD56C4" w:rsidRPr="001C73E8" w:rsidRDefault="00271CE4" w:rsidP="00BD56C4">
      <w:pPr>
        <w:tabs>
          <w:tab w:val="left" w:pos="7371"/>
        </w:tabs>
        <w:spacing w:after="120" w:line="360" w:lineRule="auto"/>
        <w:jc w:val="both"/>
        <w:rPr>
          <w:rFonts w:cs="Arial"/>
          <w:b/>
          <w:bCs w:val="0"/>
          <w:sz w:val="24"/>
          <w:szCs w:val="24"/>
        </w:rPr>
      </w:pPr>
      <w:r>
        <w:rPr>
          <w:rFonts w:cs="Arial"/>
          <w:b/>
          <w:bCs w:val="0"/>
          <w:sz w:val="24"/>
          <w:szCs w:val="24"/>
        </w:rPr>
        <w:t>Wertvolle Erkenntnisse für Allianz Partners</w:t>
      </w:r>
    </w:p>
    <w:p w14:paraId="79DB17FE" w14:textId="4E771F80" w:rsidR="00BD56C4" w:rsidRDefault="005F2D21" w:rsidP="009B44D8">
      <w:pPr>
        <w:tabs>
          <w:tab w:val="left" w:pos="7371"/>
        </w:tabs>
        <w:spacing w:after="120" w:line="360" w:lineRule="auto"/>
        <w:jc w:val="both"/>
        <w:rPr>
          <w:rFonts w:cs="Arial"/>
          <w:sz w:val="24"/>
          <w:szCs w:val="24"/>
        </w:rPr>
      </w:pPr>
      <w:r>
        <w:rPr>
          <w:rFonts w:cs="Arial"/>
          <w:sz w:val="24"/>
          <w:szCs w:val="24"/>
        </w:rPr>
        <w:t>„</w:t>
      </w:r>
      <w:r w:rsidR="0048389D" w:rsidRPr="00845D21">
        <w:rPr>
          <w:rFonts w:cs="Arial"/>
          <w:sz w:val="24"/>
          <w:szCs w:val="24"/>
        </w:rPr>
        <w:t xml:space="preserve">Die Welt </w:t>
      </w:r>
      <w:r w:rsidR="0048389D">
        <w:rPr>
          <w:rFonts w:cs="Arial"/>
          <w:sz w:val="24"/>
          <w:szCs w:val="24"/>
        </w:rPr>
        <w:t>verändert sich in rasantem Tempo u</w:t>
      </w:r>
      <w:r w:rsidR="0048389D" w:rsidRPr="00845D21">
        <w:rPr>
          <w:rFonts w:cs="Arial"/>
          <w:sz w:val="24"/>
          <w:szCs w:val="24"/>
        </w:rPr>
        <w:t xml:space="preserve">nd </w:t>
      </w:r>
      <w:r w:rsidR="000A1A65">
        <w:rPr>
          <w:rFonts w:cs="Arial"/>
          <w:sz w:val="24"/>
          <w:szCs w:val="24"/>
        </w:rPr>
        <w:t xml:space="preserve">auch Technologien werden sich </w:t>
      </w:r>
      <w:r w:rsidR="0048389D" w:rsidRPr="00845D21">
        <w:rPr>
          <w:rFonts w:cs="Arial"/>
          <w:sz w:val="24"/>
          <w:szCs w:val="24"/>
        </w:rPr>
        <w:t>i</w:t>
      </w:r>
      <w:r w:rsidR="004A223E">
        <w:rPr>
          <w:rFonts w:cs="Arial"/>
          <w:sz w:val="24"/>
          <w:szCs w:val="24"/>
        </w:rPr>
        <w:t>n</w:t>
      </w:r>
      <w:r w:rsidR="0048389D" w:rsidRPr="00845D21">
        <w:rPr>
          <w:rFonts w:cs="Arial"/>
          <w:sz w:val="24"/>
          <w:szCs w:val="24"/>
        </w:rPr>
        <w:t xml:space="preserve"> den nächsten </w:t>
      </w:r>
      <w:r w:rsidR="000A1A65">
        <w:rPr>
          <w:rFonts w:cs="Arial"/>
          <w:sz w:val="24"/>
          <w:szCs w:val="24"/>
        </w:rPr>
        <w:t>zwanzig</w:t>
      </w:r>
      <w:r w:rsidR="000A1A65" w:rsidRPr="00845D21">
        <w:rPr>
          <w:rFonts w:cs="Arial"/>
          <w:sz w:val="24"/>
          <w:szCs w:val="24"/>
        </w:rPr>
        <w:t xml:space="preserve"> </w:t>
      </w:r>
      <w:r w:rsidR="0048389D" w:rsidRPr="00845D21">
        <w:rPr>
          <w:rFonts w:cs="Arial"/>
          <w:sz w:val="24"/>
          <w:szCs w:val="24"/>
        </w:rPr>
        <w:t xml:space="preserve">Jahren </w:t>
      </w:r>
      <w:r w:rsidR="000A1A65">
        <w:rPr>
          <w:rFonts w:cs="Arial"/>
          <w:sz w:val="24"/>
          <w:szCs w:val="24"/>
        </w:rPr>
        <w:t xml:space="preserve">noch einmal erheblich weiterentwickeln. Dazu kommt ein </w:t>
      </w:r>
      <w:r w:rsidR="00AC53F7">
        <w:rPr>
          <w:rFonts w:cs="Arial"/>
          <w:sz w:val="24"/>
          <w:szCs w:val="24"/>
        </w:rPr>
        <w:t xml:space="preserve">rasantes </w:t>
      </w:r>
      <w:r w:rsidR="000A1A65">
        <w:rPr>
          <w:rFonts w:cs="Arial"/>
          <w:sz w:val="24"/>
          <w:szCs w:val="24"/>
        </w:rPr>
        <w:t>Bevölkerungswachstum</w:t>
      </w:r>
      <w:r w:rsidR="00185667">
        <w:rPr>
          <w:rFonts w:cs="Arial"/>
          <w:sz w:val="24"/>
          <w:szCs w:val="24"/>
        </w:rPr>
        <w:t xml:space="preserve"> mit dem Ergebnis, dass die Erde</w:t>
      </w:r>
      <w:r w:rsidR="000A1A65">
        <w:rPr>
          <w:rFonts w:cs="Arial"/>
          <w:sz w:val="24"/>
          <w:szCs w:val="24"/>
        </w:rPr>
        <w:t xml:space="preserve"> i</w:t>
      </w:r>
      <w:r w:rsidR="00BD56C4">
        <w:rPr>
          <w:rFonts w:cs="Arial"/>
          <w:sz w:val="24"/>
          <w:szCs w:val="24"/>
        </w:rPr>
        <w:t>m Jahr</w:t>
      </w:r>
      <w:r w:rsidR="000A1A65">
        <w:rPr>
          <w:rFonts w:cs="Arial"/>
          <w:sz w:val="24"/>
          <w:szCs w:val="24"/>
        </w:rPr>
        <w:t xml:space="preserve"> </w:t>
      </w:r>
      <w:r w:rsidR="0048389D">
        <w:rPr>
          <w:rFonts w:cs="Arial"/>
          <w:sz w:val="24"/>
          <w:szCs w:val="24"/>
        </w:rPr>
        <w:t>2040 zehn</w:t>
      </w:r>
      <w:r w:rsidR="0048389D" w:rsidRPr="00845D21">
        <w:rPr>
          <w:rFonts w:cs="Arial"/>
          <w:sz w:val="24"/>
          <w:szCs w:val="24"/>
        </w:rPr>
        <w:t xml:space="preserve"> Milliarden Menschen </w:t>
      </w:r>
      <w:r w:rsidR="000A1A65">
        <w:rPr>
          <w:rFonts w:cs="Arial"/>
          <w:sz w:val="24"/>
          <w:szCs w:val="24"/>
        </w:rPr>
        <w:t>beheimaten wird</w:t>
      </w:r>
      <w:r w:rsidR="0048389D" w:rsidRPr="00845D21">
        <w:rPr>
          <w:rFonts w:cs="Arial"/>
          <w:sz w:val="24"/>
          <w:szCs w:val="24"/>
        </w:rPr>
        <w:t xml:space="preserve">. </w:t>
      </w:r>
      <w:r w:rsidR="000A1A65">
        <w:rPr>
          <w:rFonts w:cs="Arial"/>
          <w:sz w:val="24"/>
          <w:szCs w:val="24"/>
        </w:rPr>
        <w:t>Wir</w:t>
      </w:r>
      <w:r w:rsidR="0048389D" w:rsidRPr="00845D21">
        <w:rPr>
          <w:rFonts w:cs="Arial"/>
          <w:sz w:val="24"/>
          <w:szCs w:val="24"/>
        </w:rPr>
        <w:t xml:space="preserve"> </w:t>
      </w:r>
      <w:r w:rsidR="00F06B1A">
        <w:rPr>
          <w:rFonts w:cs="Arial"/>
          <w:sz w:val="24"/>
          <w:szCs w:val="24"/>
        </w:rPr>
        <w:t xml:space="preserve">erwarten </w:t>
      </w:r>
      <w:r w:rsidR="000A1A65">
        <w:rPr>
          <w:rFonts w:cs="Arial"/>
          <w:sz w:val="24"/>
          <w:szCs w:val="24"/>
        </w:rPr>
        <w:t xml:space="preserve">daher </w:t>
      </w:r>
      <w:r w:rsidR="0048389D" w:rsidRPr="00845D21">
        <w:rPr>
          <w:rFonts w:cs="Arial"/>
          <w:sz w:val="24"/>
          <w:szCs w:val="24"/>
        </w:rPr>
        <w:t>enorme Veränderungen in fast all</w:t>
      </w:r>
      <w:r w:rsidR="0048389D">
        <w:rPr>
          <w:rFonts w:cs="Arial"/>
          <w:sz w:val="24"/>
          <w:szCs w:val="24"/>
        </w:rPr>
        <w:t>en Lebensbereichen</w:t>
      </w:r>
      <w:r w:rsidR="00F06B1A">
        <w:rPr>
          <w:rFonts w:cs="Arial"/>
          <w:sz w:val="24"/>
          <w:szCs w:val="24"/>
        </w:rPr>
        <w:t>.</w:t>
      </w:r>
      <w:r w:rsidR="0048389D">
        <w:rPr>
          <w:rFonts w:cs="Arial"/>
          <w:sz w:val="24"/>
          <w:szCs w:val="24"/>
        </w:rPr>
        <w:t xml:space="preserve"> </w:t>
      </w:r>
      <w:r w:rsidR="00F06B1A">
        <w:rPr>
          <w:rFonts w:cs="Arial"/>
          <w:sz w:val="24"/>
          <w:szCs w:val="24"/>
        </w:rPr>
        <w:t>Die</w:t>
      </w:r>
      <w:r w:rsidR="009B44D8">
        <w:rPr>
          <w:rFonts w:cs="Arial"/>
          <w:sz w:val="24"/>
          <w:szCs w:val="24"/>
        </w:rPr>
        <w:t>se</w:t>
      </w:r>
      <w:r w:rsidR="00F06B1A">
        <w:rPr>
          <w:rFonts w:cs="Arial"/>
          <w:sz w:val="24"/>
          <w:szCs w:val="24"/>
        </w:rPr>
        <w:t xml:space="preserve"> Entwicklungen </w:t>
      </w:r>
      <w:r w:rsidR="009B44D8">
        <w:rPr>
          <w:rFonts w:cs="Arial"/>
          <w:sz w:val="24"/>
          <w:szCs w:val="24"/>
        </w:rPr>
        <w:t>sind für Allianz Partners fundamental</w:t>
      </w:r>
      <w:r w:rsidR="000A1A65">
        <w:rPr>
          <w:rFonts w:cs="Arial"/>
          <w:sz w:val="24"/>
          <w:szCs w:val="24"/>
        </w:rPr>
        <w:t xml:space="preserve"> – das </w:t>
      </w:r>
      <w:r w:rsidR="009B44D8">
        <w:rPr>
          <w:rFonts w:cs="Arial"/>
          <w:sz w:val="24"/>
          <w:szCs w:val="24"/>
        </w:rPr>
        <w:t xml:space="preserve">Unternehmen agiert sehr vorausschauend und hat mich mit der Identifizierung </w:t>
      </w:r>
      <w:r w:rsidR="0048389D">
        <w:rPr>
          <w:rFonts w:cs="Arial"/>
          <w:sz w:val="24"/>
          <w:szCs w:val="24"/>
        </w:rPr>
        <w:t xml:space="preserve">der Zukunftstrends </w:t>
      </w:r>
      <w:r w:rsidR="00F06B1A">
        <w:rPr>
          <w:rFonts w:cs="Arial"/>
          <w:sz w:val="24"/>
          <w:szCs w:val="24"/>
        </w:rPr>
        <w:t>beauftragt</w:t>
      </w:r>
      <w:r w:rsidR="009B44D8">
        <w:rPr>
          <w:rFonts w:cs="Arial"/>
          <w:sz w:val="24"/>
          <w:szCs w:val="24"/>
        </w:rPr>
        <w:t xml:space="preserve">. </w:t>
      </w:r>
      <w:r w:rsidR="0048389D" w:rsidRPr="00845D21">
        <w:rPr>
          <w:rFonts w:cs="Arial"/>
          <w:sz w:val="24"/>
          <w:szCs w:val="24"/>
        </w:rPr>
        <w:t>Ich</w:t>
      </w:r>
      <w:r w:rsidR="009B44D8">
        <w:rPr>
          <w:rFonts w:cs="Arial"/>
          <w:sz w:val="24"/>
          <w:szCs w:val="24"/>
        </w:rPr>
        <w:t xml:space="preserve"> persönlich</w:t>
      </w:r>
      <w:r w:rsidR="0048389D" w:rsidRPr="00845D21">
        <w:rPr>
          <w:rFonts w:cs="Arial"/>
          <w:sz w:val="24"/>
          <w:szCs w:val="24"/>
        </w:rPr>
        <w:t xml:space="preserve"> habe die Arbeit an dieser Serie sehr genossen und glaube, dass sie wertvolle Erkenntnisse liefert</w:t>
      </w:r>
      <w:r w:rsidR="00B63CA5">
        <w:rPr>
          <w:rFonts w:cs="Arial"/>
          <w:sz w:val="24"/>
          <w:szCs w:val="24"/>
        </w:rPr>
        <w:t>“,</w:t>
      </w:r>
      <w:r w:rsidR="0048389D">
        <w:rPr>
          <w:rFonts w:cs="Arial"/>
          <w:sz w:val="24"/>
          <w:szCs w:val="24"/>
        </w:rPr>
        <w:t xml:space="preserve"> berichtet Hammond </w:t>
      </w:r>
      <w:r w:rsidR="009B44D8">
        <w:rPr>
          <w:rFonts w:cs="Arial"/>
          <w:sz w:val="24"/>
          <w:szCs w:val="24"/>
        </w:rPr>
        <w:t xml:space="preserve">über die </w:t>
      </w:r>
      <w:r w:rsidR="00AF1828">
        <w:rPr>
          <w:rFonts w:cs="Arial"/>
          <w:sz w:val="24"/>
          <w:szCs w:val="24"/>
        </w:rPr>
        <w:t>Zusammenarbeit</w:t>
      </w:r>
      <w:r w:rsidR="009B44D8">
        <w:rPr>
          <w:rFonts w:cs="Arial"/>
          <w:sz w:val="24"/>
          <w:szCs w:val="24"/>
        </w:rPr>
        <w:t xml:space="preserve"> </w:t>
      </w:r>
      <w:r w:rsidR="00AF1828">
        <w:rPr>
          <w:rFonts w:cs="Arial"/>
          <w:sz w:val="24"/>
          <w:szCs w:val="24"/>
        </w:rPr>
        <w:t>mit</w:t>
      </w:r>
      <w:r w:rsidR="0048389D">
        <w:rPr>
          <w:rFonts w:cs="Arial"/>
          <w:sz w:val="24"/>
          <w:szCs w:val="24"/>
        </w:rPr>
        <w:t xml:space="preserve"> Allianz Partners.</w:t>
      </w:r>
      <w:r w:rsidR="009B44D8">
        <w:rPr>
          <w:rFonts w:cs="Arial"/>
          <w:sz w:val="24"/>
          <w:szCs w:val="24"/>
        </w:rPr>
        <w:t xml:space="preserve"> </w:t>
      </w:r>
    </w:p>
    <w:p w14:paraId="76742A77" w14:textId="743635D0" w:rsidR="00845D21" w:rsidRPr="00845D21" w:rsidRDefault="0048389D" w:rsidP="009B44D8">
      <w:pPr>
        <w:tabs>
          <w:tab w:val="left" w:pos="7371"/>
        </w:tabs>
        <w:spacing w:after="120" w:line="360" w:lineRule="auto"/>
        <w:jc w:val="both"/>
        <w:rPr>
          <w:rFonts w:cs="Arial"/>
          <w:sz w:val="24"/>
          <w:szCs w:val="24"/>
        </w:rPr>
      </w:pPr>
      <w:r w:rsidRPr="00845D21">
        <w:rPr>
          <w:rFonts w:cs="Arial"/>
          <w:sz w:val="24"/>
          <w:szCs w:val="24"/>
        </w:rPr>
        <w:t xml:space="preserve">Die Berichte wurden vor dem Hintergrund von sieben wichtigen Trends entwickelt, </w:t>
      </w:r>
      <w:r w:rsidR="009B44D8">
        <w:rPr>
          <w:rFonts w:cs="Arial"/>
          <w:sz w:val="24"/>
          <w:szCs w:val="24"/>
        </w:rPr>
        <w:t>die aller Voraussicht nach die</w:t>
      </w:r>
      <w:r w:rsidRPr="00845D21">
        <w:rPr>
          <w:rFonts w:cs="Arial"/>
          <w:sz w:val="24"/>
          <w:szCs w:val="24"/>
        </w:rPr>
        <w:t xml:space="preserve"> Zukunft prägen</w:t>
      </w:r>
      <w:r w:rsidR="009B44D8">
        <w:rPr>
          <w:rFonts w:cs="Arial"/>
          <w:sz w:val="24"/>
          <w:szCs w:val="24"/>
        </w:rPr>
        <w:t xml:space="preserve"> werden</w:t>
      </w:r>
      <w:r w:rsidRPr="00845D21">
        <w:rPr>
          <w:rFonts w:cs="Arial"/>
          <w:sz w:val="24"/>
          <w:szCs w:val="24"/>
        </w:rPr>
        <w:t>:</w:t>
      </w:r>
      <w:r>
        <w:rPr>
          <w:rFonts w:cs="Arial"/>
          <w:sz w:val="24"/>
          <w:szCs w:val="24"/>
        </w:rPr>
        <w:t xml:space="preserve"> a</w:t>
      </w:r>
      <w:r w:rsidRPr="00845D21">
        <w:rPr>
          <w:rFonts w:cs="Arial"/>
          <w:sz w:val="24"/>
          <w:szCs w:val="24"/>
        </w:rPr>
        <w:t>symmetrische</w:t>
      </w:r>
      <w:r>
        <w:rPr>
          <w:rFonts w:cs="Arial"/>
          <w:sz w:val="24"/>
          <w:szCs w:val="24"/>
        </w:rPr>
        <w:t>s</w:t>
      </w:r>
      <w:r w:rsidRPr="00845D21">
        <w:rPr>
          <w:rFonts w:cs="Arial"/>
          <w:sz w:val="24"/>
          <w:szCs w:val="24"/>
        </w:rPr>
        <w:t xml:space="preserve"> globale</w:t>
      </w:r>
      <w:r>
        <w:rPr>
          <w:rFonts w:cs="Arial"/>
          <w:sz w:val="24"/>
          <w:szCs w:val="24"/>
        </w:rPr>
        <w:t>s</w:t>
      </w:r>
      <w:r w:rsidRPr="00845D21">
        <w:rPr>
          <w:rFonts w:cs="Arial"/>
          <w:sz w:val="24"/>
          <w:szCs w:val="24"/>
        </w:rPr>
        <w:t xml:space="preserve"> Bevölkerungs</w:t>
      </w:r>
      <w:r>
        <w:rPr>
          <w:rFonts w:cs="Arial"/>
          <w:sz w:val="24"/>
          <w:szCs w:val="24"/>
        </w:rPr>
        <w:t xml:space="preserve">wachstum, </w:t>
      </w:r>
      <w:r w:rsidRPr="00845D21">
        <w:rPr>
          <w:rFonts w:cs="Arial"/>
          <w:sz w:val="24"/>
          <w:szCs w:val="24"/>
        </w:rPr>
        <w:t>Klimawandel</w:t>
      </w:r>
      <w:r>
        <w:rPr>
          <w:rFonts w:cs="Arial"/>
          <w:sz w:val="24"/>
          <w:szCs w:val="24"/>
        </w:rPr>
        <w:t xml:space="preserve">, </w:t>
      </w:r>
      <w:r w:rsidRPr="00845D21">
        <w:rPr>
          <w:rFonts w:cs="Arial"/>
          <w:sz w:val="24"/>
          <w:szCs w:val="24"/>
        </w:rPr>
        <w:t>erneuerbare Energien</w:t>
      </w:r>
      <w:r>
        <w:rPr>
          <w:rFonts w:cs="Arial"/>
          <w:sz w:val="24"/>
          <w:szCs w:val="24"/>
        </w:rPr>
        <w:t xml:space="preserve">, </w:t>
      </w:r>
      <w:r w:rsidRPr="00845D21">
        <w:rPr>
          <w:rFonts w:cs="Arial"/>
          <w:sz w:val="24"/>
          <w:szCs w:val="24"/>
        </w:rPr>
        <w:t>Globalisierung</w:t>
      </w:r>
      <w:r>
        <w:rPr>
          <w:rFonts w:cs="Arial"/>
          <w:sz w:val="24"/>
          <w:szCs w:val="24"/>
        </w:rPr>
        <w:t xml:space="preserve">, </w:t>
      </w:r>
      <w:r w:rsidRPr="00845D21">
        <w:rPr>
          <w:rFonts w:cs="Arial"/>
          <w:sz w:val="24"/>
          <w:szCs w:val="24"/>
        </w:rPr>
        <w:t>Revolution</w:t>
      </w:r>
      <w:r>
        <w:rPr>
          <w:rFonts w:cs="Arial"/>
          <w:sz w:val="24"/>
          <w:szCs w:val="24"/>
        </w:rPr>
        <w:t>ierung</w:t>
      </w:r>
      <w:r w:rsidRPr="00845D21">
        <w:rPr>
          <w:rFonts w:cs="Arial"/>
          <w:sz w:val="24"/>
          <w:szCs w:val="24"/>
        </w:rPr>
        <w:t xml:space="preserve"> </w:t>
      </w:r>
      <w:r w:rsidR="00AC53F7">
        <w:rPr>
          <w:rFonts w:cs="Arial"/>
          <w:sz w:val="24"/>
          <w:szCs w:val="24"/>
        </w:rPr>
        <w:t>des</w:t>
      </w:r>
      <w:r w:rsidRPr="00845D21">
        <w:rPr>
          <w:rFonts w:cs="Arial"/>
          <w:sz w:val="24"/>
          <w:szCs w:val="24"/>
        </w:rPr>
        <w:t xml:space="preserve"> Gesundheitswesen</w:t>
      </w:r>
      <w:r w:rsidR="00AC53F7">
        <w:rPr>
          <w:rFonts w:cs="Arial"/>
          <w:sz w:val="24"/>
          <w:szCs w:val="24"/>
        </w:rPr>
        <w:t>s</w:t>
      </w:r>
      <w:r>
        <w:rPr>
          <w:rFonts w:cs="Arial"/>
          <w:sz w:val="24"/>
          <w:szCs w:val="24"/>
        </w:rPr>
        <w:t xml:space="preserve">, beschleunigte </w:t>
      </w:r>
      <w:r w:rsidRPr="00845D21">
        <w:rPr>
          <w:rFonts w:cs="Arial"/>
          <w:sz w:val="24"/>
          <w:szCs w:val="24"/>
        </w:rPr>
        <w:t>Entwicklung der Informationstechnologie</w:t>
      </w:r>
      <w:r>
        <w:rPr>
          <w:rFonts w:cs="Arial"/>
          <w:sz w:val="24"/>
          <w:szCs w:val="24"/>
        </w:rPr>
        <w:t>, Armut</w:t>
      </w:r>
      <w:r w:rsidRPr="00845D21">
        <w:rPr>
          <w:rFonts w:cs="Arial"/>
          <w:sz w:val="24"/>
          <w:szCs w:val="24"/>
        </w:rPr>
        <w:t>.</w:t>
      </w:r>
    </w:p>
    <w:p w14:paraId="678AB7E9" w14:textId="7943C3F8" w:rsidR="00845D21" w:rsidRDefault="00845D21" w:rsidP="00CE3759">
      <w:pPr>
        <w:tabs>
          <w:tab w:val="left" w:pos="7371"/>
        </w:tabs>
        <w:spacing w:after="120" w:line="360" w:lineRule="auto"/>
        <w:jc w:val="both"/>
        <w:rPr>
          <w:rFonts w:cs="Arial"/>
          <w:sz w:val="24"/>
          <w:szCs w:val="24"/>
        </w:rPr>
      </w:pPr>
    </w:p>
    <w:p w14:paraId="05F55B13" w14:textId="77777777" w:rsidR="00CE3759" w:rsidRDefault="00CE3759" w:rsidP="0004121B">
      <w:pPr>
        <w:tabs>
          <w:tab w:val="left" w:pos="7371"/>
        </w:tabs>
        <w:spacing w:after="120" w:line="360" w:lineRule="auto"/>
        <w:jc w:val="both"/>
        <w:rPr>
          <w:rFonts w:cs="Arial"/>
          <w:sz w:val="24"/>
          <w:szCs w:val="24"/>
        </w:rPr>
      </w:pPr>
    </w:p>
    <w:p w14:paraId="4FBE4FBE" w14:textId="6F2DC74A" w:rsidR="00845D21" w:rsidRDefault="0048389D" w:rsidP="0004121B">
      <w:pPr>
        <w:tabs>
          <w:tab w:val="left" w:pos="7371"/>
        </w:tabs>
        <w:spacing w:after="120" w:line="360" w:lineRule="auto"/>
        <w:jc w:val="both"/>
        <w:rPr>
          <w:rFonts w:cs="Arial"/>
          <w:sz w:val="24"/>
          <w:szCs w:val="24"/>
        </w:rPr>
      </w:pPr>
      <w:r>
        <w:rPr>
          <w:rFonts w:cs="Arial"/>
          <w:sz w:val="24"/>
          <w:szCs w:val="24"/>
        </w:rPr>
        <w:t>F</w:t>
      </w:r>
      <w:r w:rsidR="000A1A65">
        <w:rPr>
          <w:rFonts w:cs="Arial"/>
          <w:sz w:val="24"/>
          <w:szCs w:val="24"/>
        </w:rPr>
        <w:t xml:space="preserve">olgender Link </w:t>
      </w:r>
      <w:r w:rsidR="00876416">
        <w:rPr>
          <w:rFonts w:cs="Arial"/>
          <w:sz w:val="24"/>
          <w:szCs w:val="24"/>
        </w:rPr>
        <w:t>führt zum Bericht „The World in 2040“</w:t>
      </w:r>
      <w:r w:rsidR="00876416" w:rsidRPr="00845D21">
        <w:rPr>
          <w:rFonts w:cs="Arial"/>
          <w:sz w:val="24"/>
          <w:szCs w:val="24"/>
        </w:rPr>
        <w:t xml:space="preserve"> </w:t>
      </w:r>
      <w:r w:rsidR="00876416">
        <w:rPr>
          <w:rFonts w:cs="Arial"/>
          <w:sz w:val="24"/>
          <w:szCs w:val="24"/>
        </w:rPr>
        <w:t>und weitere</w:t>
      </w:r>
      <w:r w:rsidR="00560E63">
        <w:rPr>
          <w:rFonts w:cs="Arial"/>
          <w:sz w:val="24"/>
          <w:szCs w:val="24"/>
        </w:rPr>
        <w:t>m</w:t>
      </w:r>
      <w:r>
        <w:rPr>
          <w:rFonts w:cs="Arial"/>
          <w:sz w:val="24"/>
          <w:szCs w:val="24"/>
        </w:rPr>
        <w:t xml:space="preserve"> Video- und Textmaterial: </w:t>
      </w:r>
    </w:p>
    <w:p w14:paraId="47C124A7" w14:textId="02C9D442" w:rsidR="00EA1067" w:rsidRDefault="0022277B" w:rsidP="00EA1067">
      <w:pPr>
        <w:tabs>
          <w:tab w:val="left" w:pos="7371"/>
        </w:tabs>
        <w:spacing w:after="120" w:line="360" w:lineRule="auto"/>
        <w:jc w:val="both"/>
        <w:rPr>
          <w:rStyle w:val="Hyperlink"/>
          <w:rFonts w:cs="Arial"/>
          <w:sz w:val="24"/>
          <w:szCs w:val="24"/>
        </w:rPr>
      </w:pPr>
      <w:hyperlink r:id="rId8" w:history="1">
        <w:r w:rsidR="00EA1067" w:rsidRPr="00EA1067">
          <w:rPr>
            <w:rStyle w:val="Hyperlink"/>
            <w:rFonts w:cs="Arial"/>
            <w:sz w:val="24"/>
            <w:szCs w:val="24"/>
          </w:rPr>
          <w:t>https://www.allianz-partners.com/en_US/press-and-media/reports/the-world-in-2040.html</w:t>
        </w:r>
      </w:hyperlink>
    </w:p>
    <w:p w14:paraId="1830D4A5" w14:textId="074045C4" w:rsidR="009650AF" w:rsidRPr="009650AF" w:rsidRDefault="0022277B" w:rsidP="0004121B">
      <w:pPr>
        <w:tabs>
          <w:tab w:val="left" w:pos="7371"/>
        </w:tabs>
        <w:spacing w:after="120" w:line="360" w:lineRule="auto"/>
        <w:jc w:val="both"/>
        <w:rPr>
          <w:rStyle w:val="Hyperlink"/>
        </w:rPr>
      </w:pPr>
      <w:hyperlink r:id="rId9" w:history="1">
        <w:r w:rsidR="009650AF" w:rsidRPr="009650AF">
          <w:rPr>
            <w:rStyle w:val="Hyperlink"/>
            <w:rFonts w:cs="Arial"/>
            <w:sz w:val="24"/>
            <w:szCs w:val="24"/>
          </w:rPr>
          <w:t>https://www.youtube.com/watch?v=bhHjz6WWGJY</w:t>
        </w:r>
      </w:hyperlink>
    </w:p>
    <w:p w14:paraId="53060DA7" w14:textId="77777777" w:rsidR="00845D21" w:rsidRPr="00845D21" w:rsidRDefault="00845D21" w:rsidP="00845D21">
      <w:pPr>
        <w:rPr>
          <w:rFonts w:cs="Arial"/>
          <w:sz w:val="24"/>
          <w:szCs w:val="24"/>
        </w:rPr>
      </w:pPr>
    </w:p>
    <w:p w14:paraId="4E4263B8" w14:textId="0EB2D056" w:rsidR="00B2115A" w:rsidRDefault="00845D21" w:rsidP="0004121B">
      <w:pPr>
        <w:spacing w:after="120" w:line="360" w:lineRule="auto"/>
        <w:rPr>
          <w:rFonts w:cs="Arial"/>
          <w:sz w:val="24"/>
          <w:szCs w:val="24"/>
        </w:rPr>
      </w:pPr>
      <w:r w:rsidRPr="00845D21">
        <w:rPr>
          <w:rFonts w:cs="Arial"/>
          <w:sz w:val="24"/>
          <w:szCs w:val="24"/>
        </w:rPr>
        <w:t xml:space="preserve">Weitere Informationen zu den Geschäftsbereichen von Allianz Partners finden Sie unter: </w:t>
      </w:r>
      <w:hyperlink r:id="rId10" w:history="1">
        <w:r w:rsidRPr="00583814">
          <w:rPr>
            <w:rStyle w:val="Hyperlink"/>
            <w:rFonts w:cs="Arial"/>
            <w:sz w:val="24"/>
            <w:szCs w:val="24"/>
          </w:rPr>
          <w:t>www.allianz-partners.com</w:t>
        </w:r>
      </w:hyperlink>
    </w:p>
    <w:p w14:paraId="0CB55523" w14:textId="77777777" w:rsidR="0004121B" w:rsidRDefault="0004121B">
      <w:pPr>
        <w:rPr>
          <w:rFonts w:cs="Arial"/>
          <w:sz w:val="24"/>
          <w:szCs w:val="24"/>
        </w:rPr>
      </w:pPr>
    </w:p>
    <w:p w14:paraId="62912ED9" w14:textId="77777777" w:rsidR="0004121B" w:rsidRDefault="0004121B">
      <w:pPr>
        <w:rPr>
          <w:rFonts w:cs="Arial"/>
          <w:sz w:val="24"/>
          <w:szCs w:val="24"/>
        </w:rPr>
      </w:pPr>
    </w:p>
    <w:p w14:paraId="7CEF1B2D" w14:textId="76BF16EA" w:rsidR="00B2115A" w:rsidRDefault="0004121B">
      <w:pPr>
        <w:rPr>
          <w:rFonts w:cs="Arial"/>
          <w:sz w:val="24"/>
          <w:szCs w:val="24"/>
        </w:rPr>
      </w:pPr>
      <w:r>
        <w:rPr>
          <w:noProof/>
        </w:rPr>
        <w:drawing>
          <wp:anchor distT="0" distB="0" distL="114300" distR="114300" simplePos="0" relativeHeight="251662336" behindDoc="1" locked="0" layoutInCell="1" allowOverlap="1" wp14:anchorId="1BDF1847" wp14:editId="58B32CA4">
            <wp:simplePos x="0" y="0"/>
            <wp:positionH relativeFrom="margin">
              <wp:posOffset>0</wp:posOffset>
            </wp:positionH>
            <wp:positionV relativeFrom="paragraph">
              <wp:posOffset>180340</wp:posOffset>
            </wp:positionV>
            <wp:extent cx="5671185" cy="2017395"/>
            <wp:effectExtent l="0" t="0" r="5715" b="1905"/>
            <wp:wrapTight wrapText="bothSides">
              <wp:wrapPolygon edited="0">
                <wp:start x="0" y="0"/>
                <wp:lineTo x="0" y="21416"/>
                <wp:lineTo x="21549" y="21416"/>
                <wp:lineTo x="2154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71185" cy="2017395"/>
                    </a:xfrm>
                    <a:prstGeom prst="rect">
                      <a:avLst/>
                    </a:prstGeom>
                  </pic:spPr>
                </pic:pic>
              </a:graphicData>
            </a:graphic>
          </wp:anchor>
        </w:drawing>
      </w:r>
      <w:r w:rsidR="00B2115A">
        <w:rPr>
          <w:rFonts w:cs="Arial"/>
          <w:sz w:val="24"/>
          <w:szCs w:val="24"/>
        </w:rPr>
        <w:br w:type="page"/>
      </w:r>
    </w:p>
    <w:p w14:paraId="5A863851" w14:textId="77777777" w:rsidR="006E4937" w:rsidRPr="00C560C1" w:rsidRDefault="006E4937" w:rsidP="006E4937">
      <w:pPr>
        <w:pBdr>
          <w:top w:val="single" w:sz="6" w:space="5" w:color="E1001A"/>
          <w:bottom w:val="single" w:sz="6" w:space="5" w:color="E1001A"/>
        </w:pBdr>
        <w:autoSpaceDE w:val="0"/>
        <w:autoSpaceDN w:val="0"/>
        <w:adjustRightInd w:val="0"/>
        <w:jc w:val="both"/>
        <w:rPr>
          <w:rFonts w:cs="Arial"/>
          <w:spacing w:val="-2"/>
          <w:sz w:val="18"/>
          <w:szCs w:val="18"/>
        </w:rPr>
      </w:pPr>
      <w:bookmarkStart w:id="1" w:name="_Hlk530052437"/>
      <w:r w:rsidRPr="00C560C1">
        <w:rPr>
          <w:rFonts w:cs="Arial"/>
          <w:b/>
          <w:spacing w:val="-2"/>
          <w:sz w:val="18"/>
          <w:szCs w:val="18"/>
        </w:rPr>
        <w:lastRenderedPageBreak/>
        <w:t xml:space="preserve">Über Allianz </w:t>
      </w:r>
      <w:r>
        <w:rPr>
          <w:rFonts w:cs="Arial"/>
          <w:b/>
          <w:spacing w:val="-2"/>
          <w:sz w:val="18"/>
          <w:szCs w:val="18"/>
        </w:rPr>
        <w:t>Travel</w:t>
      </w:r>
      <w:r w:rsidRPr="00C560C1">
        <w:rPr>
          <w:rFonts w:cs="Arial"/>
          <w:b/>
          <w:spacing w:val="-2"/>
          <w:sz w:val="18"/>
          <w:szCs w:val="18"/>
        </w:rPr>
        <w:t xml:space="preserve"> &amp; Allianz Partners </w:t>
      </w:r>
    </w:p>
    <w:p w14:paraId="6A2B745C" w14:textId="77777777" w:rsidR="006E4937" w:rsidRDefault="006E4937" w:rsidP="006E4937">
      <w:pPr>
        <w:pStyle w:val="xmsonormal"/>
        <w:spacing w:before="0" w:beforeAutospacing="0" w:after="0" w:afterAutospacing="0"/>
        <w:ind w:right="993"/>
        <w:jc w:val="both"/>
        <w:rPr>
          <w:rFonts w:ascii="Arial" w:hAnsi="Arial" w:cs="Arial"/>
          <w:sz w:val="18"/>
          <w:szCs w:val="18"/>
          <w:lang w:val="de-AT"/>
        </w:rPr>
      </w:pPr>
    </w:p>
    <w:p w14:paraId="7DD8333F" w14:textId="0C085B10" w:rsidR="00B67AA6" w:rsidRPr="00B67AA6" w:rsidRDefault="00B67AA6" w:rsidP="00B67AA6">
      <w:pPr>
        <w:spacing w:line="240" w:lineRule="atLeast"/>
        <w:rPr>
          <w:rFonts w:eastAsiaTheme="minorHAnsi" w:cs="Arial"/>
          <w:bCs w:val="0"/>
          <w:kern w:val="0"/>
          <w:sz w:val="18"/>
          <w:szCs w:val="18"/>
          <w:lang w:val="de-AT" w:eastAsia="fr-FR"/>
        </w:rPr>
      </w:pPr>
      <w:r w:rsidRPr="00B67AA6">
        <w:rPr>
          <w:rFonts w:eastAsiaTheme="minorHAnsi" w:cs="Arial"/>
          <w:bCs w:val="0"/>
          <w:kern w:val="0"/>
          <w:sz w:val="18"/>
          <w:szCs w:val="18"/>
          <w:lang w:val="de-AT" w:eastAsia="fr-FR"/>
        </w:rPr>
        <w:t>Allianz Travel ist die Reiseversicherungs-Ma</w:t>
      </w:r>
      <w:r>
        <w:rPr>
          <w:rFonts w:eastAsiaTheme="minorHAnsi" w:cs="Arial"/>
          <w:bCs w:val="0"/>
          <w:kern w:val="0"/>
          <w:sz w:val="18"/>
          <w:szCs w:val="18"/>
          <w:lang w:val="de-AT" w:eastAsia="fr-FR"/>
        </w:rPr>
        <w:t>rke der AWP P&amp;C S.A. mit Firmen</w:t>
      </w:r>
      <w:r w:rsidRPr="00B67AA6">
        <w:rPr>
          <w:rFonts w:eastAsiaTheme="minorHAnsi" w:cs="Arial"/>
          <w:bCs w:val="0"/>
          <w:kern w:val="0"/>
          <w:sz w:val="18"/>
          <w:szCs w:val="18"/>
          <w:lang w:val="de-AT" w:eastAsia="fr-FR"/>
        </w:rPr>
        <w:t xml:space="preserve">hauptsitz in Frankreich, Saint </w:t>
      </w:r>
      <w:proofErr w:type="spellStart"/>
      <w:r w:rsidRPr="00B67AA6">
        <w:rPr>
          <w:rFonts w:eastAsiaTheme="minorHAnsi" w:cs="Arial"/>
          <w:bCs w:val="0"/>
          <w:kern w:val="0"/>
          <w:sz w:val="18"/>
          <w:szCs w:val="18"/>
          <w:lang w:val="de-AT" w:eastAsia="fr-FR"/>
        </w:rPr>
        <w:t>Ouen</w:t>
      </w:r>
      <w:proofErr w:type="spellEnd"/>
      <w:r w:rsidRPr="00B67AA6">
        <w:rPr>
          <w:rFonts w:eastAsiaTheme="minorHAnsi" w:cs="Arial"/>
          <w:bCs w:val="0"/>
          <w:kern w:val="0"/>
          <w:sz w:val="18"/>
          <w:szCs w:val="18"/>
          <w:lang w:val="de-AT" w:eastAsia="fr-FR"/>
        </w:rPr>
        <w:t xml:space="preserve">. Als B2B2C-Marktführer im Bereich Assistance und Versicherungslösungen ist das Unternehmen weltweiter Spezialist für folgende Bereiche: Reise, Auto und Mobilität, Gesundheit und Rehabilitationsmanagement, Wohnen und Gebäude sowie Appliance </w:t>
      </w:r>
      <w:proofErr w:type="spellStart"/>
      <w:r w:rsidRPr="00B67AA6">
        <w:rPr>
          <w:rFonts w:eastAsiaTheme="minorHAnsi" w:cs="Arial"/>
          <w:bCs w:val="0"/>
          <w:kern w:val="0"/>
          <w:sz w:val="18"/>
          <w:szCs w:val="18"/>
          <w:lang w:val="de-AT" w:eastAsia="fr-FR"/>
        </w:rPr>
        <w:t>Protection</w:t>
      </w:r>
      <w:proofErr w:type="spellEnd"/>
      <w:r w:rsidRPr="00B67AA6">
        <w:rPr>
          <w:rFonts w:eastAsiaTheme="minorHAnsi" w:cs="Arial"/>
          <w:bCs w:val="0"/>
          <w:kern w:val="0"/>
          <w:sz w:val="18"/>
          <w:szCs w:val="18"/>
          <w:lang w:val="de-AT" w:eastAsia="fr-FR"/>
        </w:rPr>
        <w:t>. Diese Angebote, die eine Kombination aus Versicherung, Services und Te</w:t>
      </w:r>
      <w:r>
        <w:rPr>
          <w:rFonts w:eastAsiaTheme="minorHAnsi" w:cs="Arial"/>
          <w:bCs w:val="0"/>
          <w:kern w:val="0"/>
          <w:sz w:val="18"/>
          <w:szCs w:val="18"/>
          <w:lang w:val="de-AT" w:eastAsia="fr-FR"/>
        </w:rPr>
        <w:t>chnologie darstellen, stehen Ge</w:t>
      </w:r>
      <w:r w:rsidRPr="00B67AA6">
        <w:rPr>
          <w:rFonts w:eastAsiaTheme="minorHAnsi" w:cs="Arial"/>
          <w:bCs w:val="0"/>
          <w:kern w:val="0"/>
          <w:sz w:val="18"/>
          <w:szCs w:val="18"/>
          <w:lang w:val="de-AT" w:eastAsia="fr-FR"/>
        </w:rPr>
        <w:t xml:space="preserve">schäftspartnern sowie deren Kunden über direkte und digitale Kanäle unter vier internationalen Marken zur Verfügung: </w:t>
      </w:r>
      <w:r w:rsidRPr="00B67AA6">
        <w:rPr>
          <w:rFonts w:eastAsiaTheme="minorHAnsi" w:cs="Arial"/>
          <w:b/>
          <w:kern w:val="0"/>
          <w:sz w:val="18"/>
          <w:szCs w:val="18"/>
          <w:lang w:val="de-AT" w:eastAsia="fr-FR"/>
        </w:rPr>
        <w:t>Allianz Travel</w:t>
      </w:r>
      <w:r w:rsidRPr="00B67AA6">
        <w:rPr>
          <w:rFonts w:eastAsiaTheme="minorHAnsi" w:cs="Arial"/>
          <w:bCs w:val="0"/>
          <w:kern w:val="0"/>
          <w:sz w:val="18"/>
          <w:szCs w:val="18"/>
          <w:lang w:val="de-AT" w:eastAsia="fr-FR"/>
        </w:rPr>
        <w:t xml:space="preserve">, Allianz Assistance, Allianz Care und Allianz Automotive. </w:t>
      </w:r>
    </w:p>
    <w:p w14:paraId="6A32E907" w14:textId="77777777" w:rsidR="00B67AA6" w:rsidRPr="00B67AA6" w:rsidRDefault="00B67AA6" w:rsidP="00B67AA6">
      <w:pPr>
        <w:spacing w:line="240" w:lineRule="atLeast"/>
        <w:rPr>
          <w:rFonts w:eastAsiaTheme="minorHAnsi" w:cs="Arial"/>
          <w:bCs w:val="0"/>
          <w:kern w:val="0"/>
          <w:sz w:val="18"/>
          <w:szCs w:val="18"/>
          <w:lang w:val="de-AT" w:eastAsia="fr-FR"/>
        </w:rPr>
      </w:pPr>
      <w:r w:rsidRPr="00B67AA6">
        <w:rPr>
          <w:rFonts w:eastAsiaTheme="minorHAnsi" w:cs="Arial"/>
          <w:bCs w:val="0"/>
          <w:kern w:val="0"/>
          <w:sz w:val="18"/>
          <w:szCs w:val="18"/>
          <w:lang w:val="de-AT" w:eastAsia="fr-FR"/>
        </w:rPr>
        <w:t xml:space="preserve">Mehr als 21.000 Mitarbeiter in über 75 Ländern, die 70 Sprachen sprechen, wickeln jährlich 65 Millionen Fälle auf allen Kontinenten ab. </w:t>
      </w:r>
    </w:p>
    <w:p w14:paraId="3E22962C" w14:textId="77777777" w:rsidR="00B67AA6" w:rsidRPr="00B67AA6" w:rsidRDefault="00B67AA6" w:rsidP="00B67AA6">
      <w:pPr>
        <w:spacing w:line="240" w:lineRule="atLeast"/>
        <w:rPr>
          <w:rFonts w:eastAsiaTheme="minorHAnsi" w:cs="Arial"/>
          <w:bCs w:val="0"/>
          <w:kern w:val="0"/>
          <w:sz w:val="18"/>
          <w:szCs w:val="18"/>
          <w:lang w:val="de-AT" w:eastAsia="fr-FR"/>
        </w:rPr>
      </w:pPr>
    </w:p>
    <w:p w14:paraId="0ED29ED2" w14:textId="2EB25FF2" w:rsidR="00807D7D" w:rsidRDefault="00B67AA6" w:rsidP="00B67AA6">
      <w:pPr>
        <w:spacing w:line="240" w:lineRule="atLeast"/>
        <w:jc w:val="both"/>
        <w:rPr>
          <w:rFonts w:eastAsiaTheme="minorHAnsi" w:cs="Arial"/>
          <w:bCs w:val="0"/>
          <w:kern w:val="0"/>
          <w:sz w:val="18"/>
          <w:szCs w:val="18"/>
          <w:lang w:val="de-AT" w:eastAsia="fr-FR"/>
        </w:rPr>
      </w:pPr>
      <w:r w:rsidRPr="00B67AA6">
        <w:rPr>
          <w:rFonts w:eastAsiaTheme="minorHAnsi" w:cs="Arial"/>
          <w:bCs w:val="0"/>
          <w:kern w:val="0"/>
          <w:sz w:val="18"/>
          <w:szCs w:val="18"/>
          <w:lang w:val="de-AT" w:eastAsia="fr-FR"/>
        </w:rPr>
        <w:t>AWP P&amp;C S.A., Niederlassung für Deutschland und Allianz Partners Deutschland GmbH – jeweils mit Sitz in Aschheim bei Münch</w:t>
      </w:r>
      <w:r>
        <w:rPr>
          <w:rFonts w:eastAsiaTheme="minorHAnsi" w:cs="Arial"/>
          <w:bCs w:val="0"/>
          <w:kern w:val="0"/>
          <w:sz w:val="18"/>
          <w:szCs w:val="18"/>
          <w:lang w:val="de-AT" w:eastAsia="fr-FR"/>
        </w:rPr>
        <w:t>en – sind zwei der deutschen Un</w:t>
      </w:r>
      <w:r w:rsidRPr="00B67AA6">
        <w:rPr>
          <w:rFonts w:eastAsiaTheme="minorHAnsi" w:cs="Arial"/>
          <w:bCs w:val="0"/>
          <w:kern w:val="0"/>
          <w:sz w:val="18"/>
          <w:szCs w:val="18"/>
          <w:lang w:val="de-AT" w:eastAsia="fr-FR"/>
        </w:rPr>
        <w:t>ternehmen der Gruppe und bieten Spezialversicherungen für Reise, Freizeit und Auslandsaufenthalte sowie Assistance-Leistungen an.</w:t>
      </w:r>
    </w:p>
    <w:p w14:paraId="10164B22" w14:textId="77777777" w:rsidR="006E4937" w:rsidRPr="00E501FF" w:rsidRDefault="006E4937" w:rsidP="006E4937">
      <w:pPr>
        <w:spacing w:line="240" w:lineRule="atLeast"/>
        <w:jc w:val="both"/>
        <w:rPr>
          <w:sz w:val="18"/>
          <w:szCs w:val="18"/>
        </w:rPr>
      </w:pPr>
    </w:p>
    <w:p w14:paraId="424D1BFC" w14:textId="5AE9B4FD" w:rsidR="006E4937" w:rsidRDefault="006E4937" w:rsidP="006E4937">
      <w:r>
        <w:rPr>
          <w:noProof/>
          <w:color w:val="0000FF"/>
        </w:rPr>
        <w:drawing>
          <wp:inline distT="0" distB="0" distL="0" distR="0" wp14:anchorId="23377B13" wp14:editId="22794A4A">
            <wp:extent cx="314325" cy="304800"/>
            <wp:effectExtent l="0" t="0" r="9525" b="0"/>
            <wp:docPr id="10" name="Grafik 10" descr="http://uat.magroup-webservice.com/B2C/DE/DE/images/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2223D02D" wp14:editId="52F61946">
            <wp:extent cx="314325" cy="304800"/>
            <wp:effectExtent l="0" t="0" r="9525" b="0"/>
            <wp:docPr id="11" name="Grafik 11" descr="http://uat.magroup-webservice.com/B2C/DE/DE/images/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463484D8" wp14:editId="67D93A51">
            <wp:extent cx="314325" cy="304800"/>
            <wp:effectExtent l="0" t="0" r="9525" b="0"/>
            <wp:docPr id="12" name="Grafik 12" descr="http://uat.magroup-webservice.com/B2C/DE/DE/images/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139F2C31" wp14:editId="5C6F0374">
            <wp:extent cx="314325" cy="304800"/>
            <wp:effectExtent l="0" t="0" r="9525" b="0"/>
            <wp:docPr id="13" name="Grafik 13" descr="http://uat.magroup-webservice.com/B2C/DE/DE/images/googl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52D126D9" w14:textId="3CCC43F9" w:rsidR="00807D7D" w:rsidRDefault="00807D7D" w:rsidP="006E4937"/>
    <w:p w14:paraId="6E37C338" w14:textId="5884D0DC" w:rsidR="00807D7D" w:rsidRDefault="00807D7D" w:rsidP="00807D7D">
      <w:pPr>
        <w:spacing w:line="240" w:lineRule="atLeast"/>
        <w:jc w:val="both"/>
        <w:rPr>
          <w:rFonts w:eastAsiaTheme="minorHAnsi" w:cs="Arial"/>
          <w:bCs w:val="0"/>
          <w:kern w:val="0"/>
          <w:sz w:val="18"/>
          <w:szCs w:val="18"/>
          <w:lang w:val="de-AT" w:eastAsia="fr-FR"/>
        </w:rPr>
      </w:pPr>
    </w:p>
    <w:p w14:paraId="3A467529" w14:textId="073B3A72" w:rsidR="00845D21" w:rsidRPr="00845D21" w:rsidRDefault="00845D21" w:rsidP="00845D21">
      <w:pPr>
        <w:spacing w:line="240" w:lineRule="atLeast"/>
        <w:jc w:val="both"/>
        <w:rPr>
          <w:rFonts w:eastAsiaTheme="minorHAnsi" w:cs="Arial"/>
          <w:b/>
          <w:kern w:val="0"/>
          <w:sz w:val="18"/>
          <w:szCs w:val="18"/>
          <w:lang w:eastAsia="fr-FR"/>
        </w:rPr>
      </w:pPr>
      <w:r w:rsidRPr="00845D21">
        <w:rPr>
          <w:rFonts w:eastAsiaTheme="minorHAnsi" w:cs="Arial"/>
          <w:b/>
          <w:kern w:val="0"/>
          <w:sz w:val="18"/>
          <w:szCs w:val="18"/>
          <w:lang w:eastAsia="fr-FR"/>
        </w:rPr>
        <w:t>Über d</w:t>
      </w:r>
      <w:r>
        <w:rPr>
          <w:rFonts w:eastAsiaTheme="minorHAnsi" w:cs="Arial"/>
          <w:b/>
          <w:kern w:val="0"/>
          <w:sz w:val="18"/>
          <w:szCs w:val="18"/>
          <w:lang w:eastAsia="fr-FR"/>
        </w:rPr>
        <w:t>en Zukunftsforscher Ray Hammond</w:t>
      </w:r>
    </w:p>
    <w:p w14:paraId="0BDF7627" w14:textId="77777777" w:rsidR="00845D21" w:rsidRPr="00845D21" w:rsidRDefault="00845D21" w:rsidP="00845D21">
      <w:pPr>
        <w:spacing w:line="240" w:lineRule="atLeast"/>
        <w:jc w:val="both"/>
        <w:rPr>
          <w:rFonts w:eastAsiaTheme="minorHAnsi" w:cs="Arial"/>
          <w:bCs w:val="0"/>
          <w:kern w:val="0"/>
          <w:sz w:val="18"/>
          <w:szCs w:val="18"/>
          <w:lang w:eastAsia="fr-FR"/>
        </w:rPr>
      </w:pPr>
    </w:p>
    <w:p w14:paraId="6C3DA45E" w14:textId="7EEF2908" w:rsidR="00306B68" w:rsidRPr="00CE3759" w:rsidRDefault="00845D21" w:rsidP="00CE3759">
      <w:pPr>
        <w:spacing w:line="240" w:lineRule="atLeast"/>
        <w:jc w:val="both"/>
        <w:rPr>
          <w:rFonts w:eastAsiaTheme="minorHAnsi" w:cs="Arial"/>
          <w:bCs w:val="0"/>
          <w:kern w:val="0"/>
          <w:sz w:val="18"/>
          <w:szCs w:val="18"/>
          <w:lang w:eastAsia="fr-FR"/>
        </w:rPr>
      </w:pPr>
      <w:r w:rsidRPr="00845D21">
        <w:rPr>
          <w:rFonts w:eastAsiaTheme="minorHAnsi" w:cs="Arial"/>
          <w:bCs w:val="0"/>
          <w:kern w:val="0"/>
          <w:sz w:val="18"/>
          <w:szCs w:val="18"/>
          <w:lang w:eastAsia="fr-FR"/>
        </w:rPr>
        <w:t xml:space="preserve">Ray Hammond hat fast 40 Jahre Erfahrung im </w:t>
      </w:r>
      <w:r w:rsidR="00BF3287">
        <w:rPr>
          <w:rFonts w:eastAsiaTheme="minorHAnsi" w:cs="Arial"/>
          <w:bCs w:val="0"/>
          <w:kern w:val="0"/>
          <w:sz w:val="18"/>
          <w:szCs w:val="18"/>
          <w:lang w:eastAsia="fr-FR"/>
        </w:rPr>
        <w:t xml:space="preserve">Schreiben und Sprechen über </w:t>
      </w:r>
      <w:r w:rsidRPr="00845D21">
        <w:rPr>
          <w:rFonts w:eastAsiaTheme="minorHAnsi" w:cs="Arial"/>
          <w:bCs w:val="0"/>
          <w:kern w:val="0"/>
          <w:sz w:val="18"/>
          <w:szCs w:val="18"/>
          <w:lang w:eastAsia="fr-FR"/>
        </w:rPr>
        <w:t xml:space="preserve">Trends, die die Zukunft prägen werden. Im Jahr 2010 wurde ihm die U.N. Goldmedaille für Verdienste um die Zukunftsforschung verliehen. </w:t>
      </w:r>
      <w:r w:rsidR="00BF3287">
        <w:rPr>
          <w:rFonts w:eastAsiaTheme="minorHAnsi" w:cs="Arial"/>
          <w:bCs w:val="0"/>
          <w:kern w:val="0"/>
          <w:sz w:val="18"/>
          <w:szCs w:val="18"/>
          <w:lang w:eastAsia="fr-FR"/>
        </w:rPr>
        <w:t>Hammonds</w:t>
      </w:r>
      <w:r w:rsidRPr="00845D21">
        <w:rPr>
          <w:rFonts w:eastAsiaTheme="minorHAnsi" w:cs="Arial"/>
          <w:bCs w:val="0"/>
          <w:kern w:val="0"/>
          <w:sz w:val="18"/>
          <w:szCs w:val="18"/>
          <w:lang w:eastAsia="fr-FR"/>
        </w:rPr>
        <w:t xml:space="preserve"> lange Geschichte der genauen </w:t>
      </w:r>
      <w:r w:rsidR="00BF3287">
        <w:rPr>
          <w:rFonts w:eastAsiaTheme="minorHAnsi" w:cs="Arial"/>
          <w:bCs w:val="0"/>
          <w:kern w:val="0"/>
          <w:sz w:val="18"/>
          <w:szCs w:val="18"/>
          <w:lang w:eastAsia="fr-FR"/>
        </w:rPr>
        <w:t xml:space="preserve">Prognosen ist einzigartig in Europa: Eine Vielzahl an Prognosen, die Hammond </w:t>
      </w:r>
      <w:r w:rsidRPr="00845D21">
        <w:rPr>
          <w:rFonts w:eastAsiaTheme="minorHAnsi" w:cs="Arial"/>
          <w:bCs w:val="0"/>
          <w:kern w:val="0"/>
          <w:sz w:val="18"/>
          <w:szCs w:val="18"/>
          <w:lang w:eastAsia="fr-FR"/>
        </w:rPr>
        <w:t>vor fast 40 Jahren beschrieben hat</w:t>
      </w:r>
      <w:r w:rsidR="00BF3287">
        <w:rPr>
          <w:rFonts w:eastAsiaTheme="minorHAnsi" w:cs="Arial"/>
          <w:bCs w:val="0"/>
          <w:kern w:val="0"/>
          <w:sz w:val="18"/>
          <w:szCs w:val="18"/>
          <w:lang w:eastAsia="fr-FR"/>
        </w:rPr>
        <w:t>, sind mittlerweile in der Gegenwart angekommen</w:t>
      </w:r>
      <w:r w:rsidRPr="00845D21">
        <w:rPr>
          <w:rFonts w:eastAsiaTheme="minorHAnsi" w:cs="Arial"/>
          <w:bCs w:val="0"/>
          <w:kern w:val="0"/>
          <w:sz w:val="18"/>
          <w:szCs w:val="18"/>
          <w:lang w:eastAsia="fr-FR"/>
        </w:rPr>
        <w:t xml:space="preserve">. </w:t>
      </w:r>
      <w:r w:rsidR="00BF3287">
        <w:rPr>
          <w:rFonts w:eastAsiaTheme="minorHAnsi" w:cs="Arial"/>
          <w:bCs w:val="0"/>
          <w:kern w:val="0"/>
          <w:sz w:val="18"/>
          <w:szCs w:val="18"/>
          <w:lang w:eastAsia="fr-FR"/>
        </w:rPr>
        <w:t>Heute hält Hammond Ansprachen</w:t>
      </w:r>
      <w:r w:rsidRPr="00845D21">
        <w:rPr>
          <w:rFonts w:eastAsiaTheme="minorHAnsi" w:cs="Arial"/>
          <w:bCs w:val="0"/>
          <w:kern w:val="0"/>
          <w:sz w:val="18"/>
          <w:szCs w:val="18"/>
          <w:lang w:eastAsia="fr-FR"/>
        </w:rPr>
        <w:t>, Vorträge und Workshops für Unternehmen, Regierungen und Behörden.</w:t>
      </w:r>
    </w:p>
    <w:p w14:paraId="4BB731C7" w14:textId="38060C92" w:rsidR="0055289E" w:rsidRDefault="0055289E" w:rsidP="0055289E"/>
    <w:p w14:paraId="5B1D0FD5" w14:textId="77777777" w:rsidR="00CE3759" w:rsidRDefault="00CE3759" w:rsidP="0055289E"/>
    <w:p w14:paraId="46EB4CE7" w14:textId="5C5081B9" w:rsidR="0095072A" w:rsidRDefault="0095072A">
      <w:pPr>
        <w:rPr>
          <w:bCs w:val="0"/>
          <w:kern w:val="0"/>
          <w:sz w:val="18"/>
          <w:szCs w:val="24"/>
          <w:lang w:val="x-none" w:eastAsia="x-none"/>
        </w:rPr>
      </w:pPr>
      <w:bookmarkStart w:id="2" w:name="_Hlk530052447"/>
      <w:bookmarkEnd w:id="1"/>
    </w:p>
    <w:p w14:paraId="10EBD5B7" w14:textId="491A2763" w:rsidR="0055289E" w:rsidRDefault="0055289E" w:rsidP="0055289E">
      <w:pPr>
        <w:tabs>
          <w:tab w:val="left" w:pos="7655"/>
        </w:tabs>
        <w:spacing w:line="360" w:lineRule="auto"/>
        <w:jc w:val="both"/>
        <w:rPr>
          <w:bCs w:val="0"/>
          <w:kern w:val="0"/>
          <w:sz w:val="18"/>
          <w:szCs w:val="24"/>
          <w:lang w:val="x-none" w:eastAsia="x-none"/>
        </w:rPr>
      </w:pPr>
      <w:r w:rsidRPr="00664E9F">
        <w:rPr>
          <w:bCs w:val="0"/>
          <w:kern w:val="0"/>
          <w:sz w:val="18"/>
          <w:szCs w:val="24"/>
          <w:lang w:val="x-none" w:eastAsia="x-none"/>
        </w:rPr>
        <w:t>Für weitere Presseauskünfte und Rückfragen wenden Sie sich bitte an:</w:t>
      </w:r>
    </w:p>
    <w:p w14:paraId="42728AB2" w14:textId="6526AAF4" w:rsidR="0055289E" w:rsidRPr="00CF4924" w:rsidRDefault="00EA1067" w:rsidP="0055289E">
      <w:pPr>
        <w:tabs>
          <w:tab w:val="left" w:pos="7655"/>
        </w:tabs>
        <w:jc w:val="both"/>
        <w:rPr>
          <w:bCs w:val="0"/>
          <w:noProof/>
          <w:kern w:val="0"/>
          <w:sz w:val="18"/>
          <w:szCs w:val="24"/>
          <w:lang w:val="it-IT"/>
        </w:rPr>
      </w:pPr>
      <w:r w:rsidRPr="00CF4924">
        <w:rPr>
          <w:bCs w:val="0"/>
          <w:noProof/>
          <w:kern w:val="0"/>
          <w:sz w:val="18"/>
          <w:szCs w:val="24"/>
          <w:lang w:val="it-IT"/>
        </w:rPr>
        <w:t>Orla Burke</w:t>
      </w:r>
    </w:p>
    <w:p w14:paraId="1779382C" w14:textId="23268E3E" w:rsidR="00EA1067" w:rsidRPr="00CF4924" w:rsidRDefault="0022277B" w:rsidP="0055289E">
      <w:pPr>
        <w:tabs>
          <w:tab w:val="left" w:pos="7655"/>
        </w:tabs>
        <w:jc w:val="both"/>
        <w:rPr>
          <w:bCs w:val="0"/>
          <w:noProof/>
          <w:kern w:val="0"/>
          <w:sz w:val="18"/>
          <w:szCs w:val="24"/>
          <w:lang w:val="it-IT"/>
        </w:rPr>
      </w:pPr>
      <w:hyperlink r:id="rId24" w:history="1">
        <w:r w:rsidR="00EA1067" w:rsidRPr="00CF4924">
          <w:rPr>
            <w:bCs w:val="0"/>
            <w:noProof/>
            <w:kern w:val="0"/>
            <w:sz w:val="18"/>
            <w:szCs w:val="24"/>
            <w:lang w:val="it-IT"/>
          </w:rPr>
          <w:t>orla.burke@fleishmaneurope.com</w:t>
        </w:r>
      </w:hyperlink>
    </w:p>
    <w:p w14:paraId="192BAEE7" w14:textId="3BE1873F" w:rsidR="00EA1067" w:rsidRPr="00CF4924" w:rsidRDefault="00EA1067" w:rsidP="00EA1067">
      <w:pPr>
        <w:tabs>
          <w:tab w:val="left" w:pos="7655"/>
        </w:tabs>
        <w:jc w:val="both"/>
        <w:rPr>
          <w:bCs w:val="0"/>
          <w:noProof/>
          <w:kern w:val="0"/>
          <w:sz w:val="18"/>
          <w:szCs w:val="24"/>
          <w:lang w:val="it-IT"/>
        </w:rPr>
      </w:pPr>
    </w:p>
    <w:p w14:paraId="560E3F9F" w14:textId="17331303" w:rsidR="00EA1067" w:rsidRPr="00CF4924" w:rsidRDefault="00EA1067" w:rsidP="00EA1067">
      <w:pPr>
        <w:tabs>
          <w:tab w:val="left" w:pos="7655"/>
        </w:tabs>
        <w:jc w:val="both"/>
        <w:rPr>
          <w:bCs w:val="0"/>
          <w:noProof/>
          <w:kern w:val="0"/>
          <w:sz w:val="18"/>
          <w:szCs w:val="24"/>
          <w:lang w:val="en-US"/>
        </w:rPr>
      </w:pPr>
      <w:r w:rsidRPr="00CF4924">
        <w:rPr>
          <w:bCs w:val="0"/>
          <w:noProof/>
          <w:kern w:val="0"/>
          <w:sz w:val="18"/>
          <w:szCs w:val="24"/>
          <w:lang w:val="en-US"/>
        </w:rPr>
        <w:t>Orlaith FitzGerald</w:t>
      </w:r>
    </w:p>
    <w:p w14:paraId="0773B371" w14:textId="15544B1C" w:rsidR="00EA1067" w:rsidRPr="00CF4924" w:rsidRDefault="0022277B" w:rsidP="00EA1067">
      <w:pPr>
        <w:tabs>
          <w:tab w:val="left" w:pos="7655"/>
        </w:tabs>
        <w:jc w:val="both"/>
        <w:rPr>
          <w:bCs w:val="0"/>
          <w:noProof/>
          <w:kern w:val="0"/>
          <w:sz w:val="18"/>
          <w:szCs w:val="24"/>
          <w:lang w:val="en-US"/>
        </w:rPr>
      </w:pPr>
      <w:hyperlink r:id="rId25" w:history="1">
        <w:r w:rsidR="00EA1067" w:rsidRPr="00CF4924">
          <w:rPr>
            <w:bCs w:val="0"/>
            <w:noProof/>
            <w:kern w:val="0"/>
            <w:sz w:val="18"/>
            <w:szCs w:val="24"/>
            <w:lang w:val="en-US"/>
          </w:rPr>
          <w:t>orlaith.fitzgerald@fleishmaneurope.com</w:t>
        </w:r>
      </w:hyperlink>
    </w:p>
    <w:p w14:paraId="6E7B8394" w14:textId="77777777" w:rsidR="00EA1067" w:rsidRPr="00CF4924" w:rsidRDefault="00EA1067" w:rsidP="00EA1067">
      <w:pPr>
        <w:tabs>
          <w:tab w:val="left" w:pos="7655"/>
        </w:tabs>
        <w:jc w:val="both"/>
        <w:rPr>
          <w:bCs w:val="0"/>
          <w:noProof/>
          <w:kern w:val="0"/>
          <w:sz w:val="18"/>
          <w:szCs w:val="24"/>
          <w:lang w:val="en-US"/>
        </w:rPr>
      </w:pPr>
    </w:p>
    <w:p w14:paraId="48562E1C" w14:textId="658A862E" w:rsidR="00845D21" w:rsidRPr="00EA1067" w:rsidRDefault="00EA1067" w:rsidP="00EA1067">
      <w:pPr>
        <w:tabs>
          <w:tab w:val="left" w:pos="7655"/>
        </w:tabs>
        <w:jc w:val="both"/>
        <w:rPr>
          <w:bCs w:val="0"/>
          <w:noProof/>
          <w:kern w:val="0"/>
          <w:sz w:val="18"/>
          <w:szCs w:val="24"/>
        </w:rPr>
      </w:pPr>
      <w:r w:rsidRPr="00EA1067">
        <w:rPr>
          <w:bCs w:val="0"/>
          <w:noProof/>
          <w:kern w:val="0"/>
          <w:sz w:val="18"/>
          <w:szCs w:val="24"/>
        </w:rPr>
        <w:t>+353 1 6188444</w:t>
      </w:r>
    </w:p>
    <w:p w14:paraId="7C3A9FD9" w14:textId="5E899685" w:rsidR="00845D21" w:rsidRPr="00EA1067" w:rsidRDefault="00845D21" w:rsidP="00EA1067">
      <w:pPr>
        <w:tabs>
          <w:tab w:val="left" w:pos="7655"/>
        </w:tabs>
        <w:jc w:val="both"/>
        <w:rPr>
          <w:bCs w:val="0"/>
          <w:noProof/>
          <w:kern w:val="0"/>
          <w:sz w:val="18"/>
          <w:szCs w:val="24"/>
        </w:rPr>
      </w:pPr>
    </w:p>
    <w:p w14:paraId="389EF04B" w14:textId="7E8D27FA" w:rsidR="00845D21" w:rsidRPr="00EA1067" w:rsidRDefault="00845D21" w:rsidP="00EA1067">
      <w:pPr>
        <w:tabs>
          <w:tab w:val="left" w:pos="7655"/>
        </w:tabs>
        <w:jc w:val="both"/>
        <w:rPr>
          <w:bCs w:val="0"/>
          <w:noProof/>
          <w:kern w:val="0"/>
          <w:sz w:val="18"/>
          <w:szCs w:val="24"/>
        </w:rPr>
      </w:pPr>
    </w:p>
    <w:p w14:paraId="79041096" w14:textId="7C94671E" w:rsidR="00845D21" w:rsidRPr="00EA1067" w:rsidRDefault="00845D21" w:rsidP="0055289E">
      <w:pPr>
        <w:autoSpaceDE w:val="0"/>
        <w:autoSpaceDN w:val="0"/>
        <w:adjustRightInd w:val="0"/>
        <w:rPr>
          <w:rFonts w:cs="Arial"/>
          <w:sz w:val="18"/>
          <w:szCs w:val="18"/>
          <w:lang w:val="en-US"/>
        </w:rPr>
      </w:pPr>
    </w:p>
    <w:p w14:paraId="757C2BE8" w14:textId="25C5C7EC" w:rsidR="00845D21" w:rsidRPr="00EA1067" w:rsidRDefault="00845D21" w:rsidP="0055289E">
      <w:pPr>
        <w:autoSpaceDE w:val="0"/>
        <w:autoSpaceDN w:val="0"/>
        <w:adjustRightInd w:val="0"/>
        <w:rPr>
          <w:rFonts w:cs="Arial"/>
          <w:sz w:val="18"/>
          <w:szCs w:val="18"/>
          <w:lang w:val="en-US"/>
        </w:rPr>
      </w:pPr>
    </w:p>
    <w:p w14:paraId="745EC2F0" w14:textId="27E8EEE8" w:rsidR="00845D21" w:rsidRPr="00EA1067" w:rsidRDefault="00845D21" w:rsidP="0055289E">
      <w:pPr>
        <w:autoSpaceDE w:val="0"/>
        <w:autoSpaceDN w:val="0"/>
        <w:adjustRightInd w:val="0"/>
        <w:rPr>
          <w:rFonts w:cs="Arial"/>
          <w:sz w:val="18"/>
          <w:szCs w:val="18"/>
          <w:lang w:val="en-US"/>
        </w:rPr>
      </w:pPr>
    </w:p>
    <w:p w14:paraId="4E3C0899" w14:textId="20456BBA" w:rsidR="00845D21" w:rsidRPr="00EA1067" w:rsidRDefault="00845D21" w:rsidP="0055289E">
      <w:pPr>
        <w:autoSpaceDE w:val="0"/>
        <w:autoSpaceDN w:val="0"/>
        <w:adjustRightInd w:val="0"/>
        <w:rPr>
          <w:rFonts w:cs="Arial"/>
          <w:sz w:val="18"/>
          <w:szCs w:val="18"/>
          <w:lang w:val="en-US"/>
        </w:rPr>
      </w:pPr>
    </w:p>
    <w:p w14:paraId="7D9994F0" w14:textId="14F40B16" w:rsidR="00845D21" w:rsidRPr="00EA1067" w:rsidRDefault="00845D21" w:rsidP="0055289E">
      <w:pPr>
        <w:autoSpaceDE w:val="0"/>
        <w:autoSpaceDN w:val="0"/>
        <w:adjustRightInd w:val="0"/>
        <w:rPr>
          <w:rFonts w:cs="Arial"/>
          <w:sz w:val="18"/>
          <w:szCs w:val="18"/>
          <w:lang w:val="en-US"/>
        </w:rPr>
      </w:pPr>
    </w:p>
    <w:bookmarkEnd w:id="2"/>
    <w:p w14:paraId="07ECF11A" w14:textId="3E8E4468" w:rsidR="00F77B55" w:rsidRPr="006A6B50" w:rsidRDefault="00B2115A" w:rsidP="0004121B">
      <w:pPr>
        <w:autoSpaceDE w:val="0"/>
        <w:autoSpaceDN w:val="0"/>
        <w:adjustRightInd w:val="0"/>
        <w:rPr>
          <w:rFonts w:cs="Arial"/>
          <w:sz w:val="18"/>
          <w:szCs w:val="18"/>
        </w:rPr>
      </w:pPr>
      <w:r>
        <w:rPr>
          <w:noProof/>
        </w:rPr>
        <w:lastRenderedPageBreak/>
        <w:drawing>
          <wp:anchor distT="0" distB="0" distL="114300" distR="114300" simplePos="0" relativeHeight="251660288" behindDoc="1" locked="0" layoutInCell="1" allowOverlap="1" wp14:anchorId="1642C931" wp14:editId="05383B4C">
            <wp:simplePos x="0" y="0"/>
            <wp:positionH relativeFrom="page">
              <wp:posOffset>800100</wp:posOffset>
            </wp:positionH>
            <wp:positionV relativeFrom="paragraph">
              <wp:posOffset>201295</wp:posOffset>
            </wp:positionV>
            <wp:extent cx="5816600" cy="2724150"/>
            <wp:effectExtent l="0" t="0" r="0" b="0"/>
            <wp:wrapTight wrapText="bothSides">
              <wp:wrapPolygon edited="0">
                <wp:start x="0" y="0"/>
                <wp:lineTo x="0" y="21449"/>
                <wp:lineTo x="21506" y="21449"/>
                <wp:lineTo x="2150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26">
                      <a:extLst>
                        <a:ext uri="{28A0092B-C50C-407E-A947-70E740481C1C}">
                          <a14:useLocalDpi xmlns:a14="http://schemas.microsoft.com/office/drawing/2010/main" val="0"/>
                        </a:ext>
                      </a:extLst>
                    </a:blip>
                    <a:srcRect t="13158" b="6433"/>
                    <a:stretch/>
                  </pic:blipFill>
                  <pic:spPr bwMode="auto">
                    <a:xfrm>
                      <a:off x="0" y="0"/>
                      <a:ext cx="5816600" cy="272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77B55" w:rsidRPr="006A6B50" w:rsidSect="008A2E96">
      <w:headerReference w:type="default" r:id="rId27"/>
      <w:footerReference w:type="first" r:id="rId28"/>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5C0B4" w14:textId="77777777" w:rsidR="00315C0E" w:rsidRDefault="00315C0E">
      <w:r>
        <w:separator/>
      </w:r>
    </w:p>
  </w:endnote>
  <w:endnote w:type="continuationSeparator" w:id="0">
    <w:p w14:paraId="25AC1FCC" w14:textId="77777777" w:rsidR="00315C0E" w:rsidRDefault="0031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6DB0" w14:textId="0438D155"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22277B">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45C00" w14:textId="77777777" w:rsidR="00315C0E" w:rsidRDefault="00315C0E">
      <w:r>
        <w:separator/>
      </w:r>
    </w:p>
  </w:footnote>
  <w:footnote w:type="continuationSeparator" w:id="0">
    <w:p w14:paraId="5EE5BD9B" w14:textId="77777777" w:rsidR="00315C0E" w:rsidRDefault="0031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0E214" w14:textId="56EB8737" w:rsidR="00A657BA" w:rsidRDefault="004A4C57" w:rsidP="00AE7EED">
    <w:pPr>
      <w:tabs>
        <w:tab w:val="left" w:pos="7995"/>
      </w:tabs>
      <w:spacing w:line="360" w:lineRule="auto"/>
      <w:rPr>
        <w:rFonts w:cs="Arial"/>
        <w:b/>
        <w:bCs w:val="0"/>
        <w:sz w:val="24"/>
      </w:rPr>
    </w:pPr>
    <w:r>
      <w:rPr>
        <w:rFonts w:cs="Arial"/>
        <w:noProof/>
        <w:color w:val="000000"/>
        <w:sz w:val="22"/>
        <w:szCs w:val="22"/>
      </w:rPr>
      <w:drawing>
        <wp:anchor distT="0" distB="0" distL="114300" distR="114300" simplePos="0" relativeHeight="251658240" behindDoc="0" locked="0" layoutInCell="1" allowOverlap="1" wp14:anchorId="61AFFC97" wp14:editId="42F699C2">
          <wp:simplePos x="0" y="0"/>
          <wp:positionH relativeFrom="margin">
            <wp:align>right</wp:align>
          </wp:positionH>
          <wp:positionV relativeFrom="margin">
            <wp:posOffset>-1724025</wp:posOffset>
          </wp:positionV>
          <wp:extent cx="1971675" cy="257175"/>
          <wp:effectExtent l="0" t="0" r="9525" b="9525"/>
          <wp:wrapSquare wrapText="bothSides"/>
          <wp:docPr id="7" name="Grafik 7" descr="cid:image001.png@01D428B8.D2F1E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8B8.D2F1E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anchor>
      </w:drawing>
    </w:r>
  </w:p>
  <w:p w14:paraId="7B05A42B" w14:textId="13496DD6" w:rsidR="00650BE5" w:rsidRDefault="0022277B" w:rsidP="00AE7EED">
    <w:pPr>
      <w:tabs>
        <w:tab w:val="left" w:pos="7995"/>
      </w:tabs>
      <w:spacing w:line="360" w:lineRule="auto"/>
      <w:rPr>
        <w:rFonts w:cs="Arial"/>
        <w:b/>
        <w:bCs w:val="0"/>
        <w:sz w:val="24"/>
      </w:rPr>
    </w:pPr>
  </w:p>
  <w:p w14:paraId="030764BE" w14:textId="77777777" w:rsidR="004A4C57" w:rsidRDefault="004A4C57" w:rsidP="00AE7EED">
    <w:pPr>
      <w:tabs>
        <w:tab w:val="left" w:pos="7995"/>
      </w:tabs>
      <w:spacing w:line="360" w:lineRule="auto"/>
      <w:rPr>
        <w:rFonts w:cs="Arial"/>
        <w:b/>
        <w:bCs w:val="0"/>
        <w:sz w:val="24"/>
      </w:rPr>
    </w:pPr>
  </w:p>
  <w:p w14:paraId="2277EE73" w14:textId="001E1990" w:rsidR="00650BE5" w:rsidRDefault="0022277B" w:rsidP="00AE7EED">
    <w:pPr>
      <w:tabs>
        <w:tab w:val="left" w:pos="7995"/>
      </w:tabs>
      <w:spacing w:line="360" w:lineRule="auto"/>
      <w:rPr>
        <w:rFonts w:cs="Arial"/>
        <w:b/>
        <w:bCs w:val="0"/>
        <w:sz w:val="24"/>
      </w:rPr>
    </w:pPr>
  </w:p>
  <w:p w14:paraId="6E0369BF" w14:textId="77777777" w:rsidR="00A657BA" w:rsidRDefault="0022277B"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22277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B72353"/>
    <w:multiLevelType w:val="hybridMultilevel"/>
    <w:tmpl w:val="88CEE5AC"/>
    <w:lvl w:ilvl="0" w:tplc="FDB26066">
      <w:start w:val="1"/>
      <w:numFmt w:val="bullet"/>
      <w:lvlText w:val="›"/>
      <w:lvlJc w:val="left"/>
      <w:pPr>
        <w:ind w:left="1778" w:hanging="360"/>
      </w:pPr>
      <w:rPr>
        <w:rFonts w:ascii="Arial" w:eastAsia="Times New Roman" w:hAnsi="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5"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321B2D"/>
    <w:multiLevelType w:val="hybridMultilevel"/>
    <w:tmpl w:val="9418CF46"/>
    <w:lvl w:ilvl="0" w:tplc="FDB26066">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6C9B4DEC"/>
    <w:multiLevelType w:val="hybridMultilevel"/>
    <w:tmpl w:val="4E4ACAD8"/>
    <w:lvl w:ilvl="0" w:tplc="6CDCB0E2">
      <w:start w:val="1"/>
      <w:numFmt w:val="decimal"/>
      <w:lvlText w:val="%1."/>
      <w:lvlJc w:val="left"/>
      <w:pPr>
        <w:ind w:left="720" w:hanging="360"/>
      </w:pPr>
      <w:rPr>
        <w:rFonts w:hint="default"/>
        <w:b/>
        <w:bCs/>
      </w:rPr>
    </w:lvl>
    <w:lvl w:ilvl="1" w:tplc="FDB26066">
      <w:start w:val="1"/>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966691"/>
    <w:multiLevelType w:val="hybridMultilevel"/>
    <w:tmpl w:val="445CF39C"/>
    <w:lvl w:ilvl="0" w:tplc="05F262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0"/>
  </w:num>
  <w:num w:numId="14">
    <w:abstractNumId w:val="16"/>
  </w:num>
  <w:num w:numId="15">
    <w:abstractNumId w:val="11"/>
  </w:num>
  <w:num w:numId="16">
    <w:abstractNumId w:val="13"/>
  </w:num>
  <w:num w:numId="17">
    <w:abstractNumId w:val="10"/>
  </w:num>
  <w:num w:numId="18">
    <w:abstractNumId w:val="18"/>
  </w:num>
  <w:num w:numId="19">
    <w:abstractNumId w:val="1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pt-BR" w:vendorID="64" w:dllVersion="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10EC2"/>
    <w:rsid w:val="000122E7"/>
    <w:rsid w:val="00013C94"/>
    <w:rsid w:val="00016DA3"/>
    <w:rsid w:val="0002266F"/>
    <w:rsid w:val="000228CF"/>
    <w:rsid w:val="00030975"/>
    <w:rsid w:val="00033B21"/>
    <w:rsid w:val="0004121B"/>
    <w:rsid w:val="00064C25"/>
    <w:rsid w:val="000665B1"/>
    <w:rsid w:val="00072E51"/>
    <w:rsid w:val="00080ED6"/>
    <w:rsid w:val="00091973"/>
    <w:rsid w:val="0009624C"/>
    <w:rsid w:val="000A1A65"/>
    <w:rsid w:val="000B0570"/>
    <w:rsid w:val="000B1CAE"/>
    <w:rsid w:val="000B23FF"/>
    <w:rsid w:val="000B5008"/>
    <w:rsid w:val="000C5233"/>
    <w:rsid w:val="000C7064"/>
    <w:rsid w:val="00102729"/>
    <w:rsid w:val="0010499B"/>
    <w:rsid w:val="00104E8C"/>
    <w:rsid w:val="00111BD8"/>
    <w:rsid w:val="00117EBB"/>
    <w:rsid w:val="00121B19"/>
    <w:rsid w:val="001220EE"/>
    <w:rsid w:val="0013106E"/>
    <w:rsid w:val="0015099B"/>
    <w:rsid w:val="00152DBE"/>
    <w:rsid w:val="00155FBF"/>
    <w:rsid w:val="0015632A"/>
    <w:rsid w:val="001658C6"/>
    <w:rsid w:val="00166C56"/>
    <w:rsid w:val="00170DC2"/>
    <w:rsid w:val="001852AE"/>
    <w:rsid w:val="001854C8"/>
    <w:rsid w:val="00185667"/>
    <w:rsid w:val="00190C1C"/>
    <w:rsid w:val="00190CFC"/>
    <w:rsid w:val="00191995"/>
    <w:rsid w:val="001928A8"/>
    <w:rsid w:val="00194BAF"/>
    <w:rsid w:val="00196540"/>
    <w:rsid w:val="001A0D51"/>
    <w:rsid w:val="001B1C9E"/>
    <w:rsid w:val="001B2196"/>
    <w:rsid w:val="001B7800"/>
    <w:rsid w:val="001C531E"/>
    <w:rsid w:val="001C624A"/>
    <w:rsid w:val="001C6CE6"/>
    <w:rsid w:val="001C73E8"/>
    <w:rsid w:val="001E1F89"/>
    <w:rsid w:val="001E2327"/>
    <w:rsid w:val="001F4C7D"/>
    <w:rsid w:val="001F4C85"/>
    <w:rsid w:val="001F7F1B"/>
    <w:rsid w:val="00216C26"/>
    <w:rsid w:val="00221C2A"/>
    <w:rsid w:val="0022277B"/>
    <w:rsid w:val="00222B6B"/>
    <w:rsid w:val="002409E5"/>
    <w:rsid w:val="0024351D"/>
    <w:rsid w:val="002562DF"/>
    <w:rsid w:val="00270632"/>
    <w:rsid w:val="00271CE4"/>
    <w:rsid w:val="00275923"/>
    <w:rsid w:val="002774B3"/>
    <w:rsid w:val="0029507B"/>
    <w:rsid w:val="002A04A3"/>
    <w:rsid w:val="002A184A"/>
    <w:rsid w:val="002A2423"/>
    <w:rsid w:val="002A5BBF"/>
    <w:rsid w:val="002A7420"/>
    <w:rsid w:val="002B5CDF"/>
    <w:rsid w:val="002C24D2"/>
    <w:rsid w:val="002C3823"/>
    <w:rsid w:val="002C5327"/>
    <w:rsid w:val="002E18A7"/>
    <w:rsid w:val="002F36B1"/>
    <w:rsid w:val="002F4FF9"/>
    <w:rsid w:val="002F5F80"/>
    <w:rsid w:val="00305292"/>
    <w:rsid w:val="00306B68"/>
    <w:rsid w:val="00315C0E"/>
    <w:rsid w:val="00325FB6"/>
    <w:rsid w:val="00333742"/>
    <w:rsid w:val="00344515"/>
    <w:rsid w:val="003471C6"/>
    <w:rsid w:val="003479CC"/>
    <w:rsid w:val="00372D97"/>
    <w:rsid w:val="00374ED4"/>
    <w:rsid w:val="003755E0"/>
    <w:rsid w:val="00376E9E"/>
    <w:rsid w:val="00377A23"/>
    <w:rsid w:val="00392397"/>
    <w:rsid w:val="00392FEE"/>
    <w:rsid w:val="00397DD4"/>
    <w:rsid w:val="003A590D"/>
    <w:rsid w:val="003B26B1"/>
    <w:rsid w:val="003B35A5"/>
    <w:rsid w:val="003B3E32"/>
    <w:rsid w:val="003B50BB"/>
    <w:rsid w:val="003C26DE"/>
    <w:rsid w:val="003C504A"/>
    <w:rsid w:val="003D1B14"/>
    <w:rsid w:val="003D5E81"/>
    <w:rsid w:val="003F17B3"/>
    <w:rsid w:val="003F582E"/>
    <w:rsid w:val="00420176"/>
    <w:rsid w:val="0042556E"/>
    <w:rsid w:val="004270ED"/>
    <w:rsid w:val="004311DE"/>
    <w:rsid w:val="0043765A"/>
    <w:rsid w:val="004550A2"/>
    <w:rsid w:val="004604E5"/>
    <w:rsid w:val="0046156F"/>
    <w:rsid w:val="00464F14"/>
    <w:rsid w:val="00465886"/>
    <w:rsid w:val="004705A8"/>
    <w:rsid w:val="00475E65"/>
    <w:rsid w:val="00482107"/>
    <w:rsid w:val="00482C19"/>
    <w:rsid w:val="0048389D"/>
    <w:rsid w:val="004A223E"/>
    <w:rsid w:val="004A4C57"/>
    <w:rsid w:val="004B1C12"/>
    <w:rsid w:val="004B4092"/>
    <w:rsid w:val="004B5442"/>
    <w:rsid w:val="004B59DC"/>
    <w:rsid w:val="004C417E"/>
    <w:rsid w:val="004D46F7"/>
    <w:rsid w:val="004D57CC"/>
    <w:rsid w:val="004D7CC8"/>
    <w:rsid w:val="004D7DB4"/>
    <w:rsid w:val="004E2E27"/>
    <w:rsid w:val="004E5630"/>
    <w:rsid w:val="004E71FD"/>
    <w:rsid w:val="004F1945"/>
    <w:rsid w:val="004F2152"/>
    <w:rsid w:val="00514666"/>
    <w:rsid w:val="005174F0"/>
    <w:rsid w:val="00523481"/>
    <w:rsid w:val="00534B55"/>
    <w:rsid w:val="005413D9"/>
    <w:rsid w:val="005468E5"/>
    <w:rsid w:val="0055092E"/>
    <w:rsid w:val="00550A31"/>
    <w:rsid w:val="0055289E"/>
    <w:rsid w:val="00554735"/>
    <w:rsid w:val="00560E63"/>
    <w:rsid w:val="005639CD"/>
    <w:rsid w:val="005701BC"/>
    <w:rsid w:val="005723F5"/>
    <w:rsid w:val="00573D5D"/>
    <w:rsid w:val="005852B4"/>
    <w:rsid w:val="00587DE0"/>
    <w:rsid w:val="00592BBB"/>
    <w:rsid w:val="00592C46"/>
    <w:rsid w:val="005B1D4F"/>
    <w:rsid w:val="005B6FC5"/>
    <w:rsid w:val="005B74E5"/>
    <w:rsid w:val="005C1F39"/>
    <w:rsid w:val="005C5A4A"/>
    <w:rsid w:val="005D2688"/>
    <w:rsid w:val="005D5D4D"/>
    <w:rsid w:val="005D77B7"/>
    <w:rsid w:val="005E0211"/>
    <w:rsid w:val="005F2D21"/>
    <w:rsid w:val="005F6A2A"/>
    <w:rsid w:val="0061210F"/>
    <w:rsid w:val="006175ED"/>
    <w:rsid w:val="00623AE1"/>
    <w:rsid w:val="00625997"/>
    <w:rsid w:val="00626834"/>
    <w:rsid w:val="00651C2F"/>
    <w:rsid w:val="00653696"/>
    <w:rsid w:val="006574BD"/>
    <w:rsid w:val="00660EC0"/>
    <w:rsid w:val="006614BB"/>
    <w:rsid w:val="00661991"/>
    <w:rsid w:val="00664B44"/>
    <w:rsid w:val="006727E7"/>
    <w:rsid w:val="00673563"/>
    <w:rsid w:val="00683893"/>
    <w:rsid w:val="00694585"/>
    <w:rsid w:val="006A0550"/>
    <w:rsid w:val="006A3935"/>
    <w:rsid w:val="006A6B50"/>
    <w:rsid w:val="006B0301"/>
    <w:rsid w:val="006D21BF"/>
    <w:rsid w:val="006D2D67"/>
    <w:rsid w:val="006D753E"/>
    <w:rsid w:val="006D7CD2"/>
    <w:rsid w:val="006E0E3B"/>
    <w:rsid w:val="006E4937"/>
    <w:rsid w:val="006F04CB"/>
    <w:rsid w:val="006F3993"/>
    <w:rsid w:val="006F3B64"/>
    <w:rsid w:val="0070381A"/>
    <w:rsid w:val="00714651"/>
    <w:rsid w:val="007167A1"/>
    <w:rsid w:val="0072150F"/>
    <w:rsid w:val="00726CAF"/>
    <w:rsid w:val="0072735F"/>
    <w:rsid w:val="00743B74"/>
    <w:rsid w:val="007461CD"/>
    <w:rsid w:val="00747BC9"/>
    <w:rsid w:val="007511DA"/>
    <w:rsid w:val="00751841"/>
    <w:rsid w:val="00755828"/>
    <w:rsid w:val="00757781"/>
    <w:rsid w:val="00763F4A"/>
    <w:rsid w:val="007705A9"/>
    <w:rsid w:val="00775066"/>
    <w:rsid w:val="00785C25"/>
    <w:rsid w:val="007878DA"/>
    <w:rsid w:val="007910B9"/>
    <w:rsid w:val="007B587E"/>
    <w:rsid w:val="007B7692"/>
    <w:rsid w:val="007C40BA"/>
    <w:rsid w:val="007D18AF"/>
    <w:rsid w:val="007D3E1F"/>
    <w:rsid w:val="007D7039"/>
    <w:rsid w:val="007E587F"/>
    <w:rsid w:val="00801E84"/>
    <w:rsid w:val="00807D7D"/>
    <w:rsid w:val="00816FD2"/>
    <w:rsid w:val="00822B3A"/>
    <w:rsid w:val="00831A0F"/>
    <w:rsid w:val="00843056"/>
    <w:rsid w:val="00843EE6"/>
    <w:rsid w:val="00845D21"/>
    <w:rsid w:val="00876416"/>
    <w:rsid w:val="008921FB"/>
    <w:rsid w:val="0089347E"/>
    <w:rsid w:val="008A089C"/>
    <w:rsid w:val="008A1759"/>
    <w:rsid w:val="008A2CAE"/>
    <w:rsid w:val="008A2E96"/>
    <w:rsid w:val="008A6AA2"/>
    <w:rsid w:val="008B64C5"/>
    <w:rsid w:val="009022C3"/>
    <w:rsid w:val="00902656"/>
    <w:rsid w:val="009126DE"/>
    <w:rsid w:val="00923002"/>
    <w:rsid w:val="00940C28"/>
    <w:rsid w:val="0095072A"/>
    <w:rsid w:val="009518BF"/>
    <w:rsid w:val="0096301C"/>
    <w:rsid w:val="009650AF"/>
    <w:rsid w:val="00973E53"/>
    <w:rsid w:val="00974E0A"/>
    <w:rsid w:val="00980BAC"/>
    <w:rsid w:val="009A4209"/>
    <w:rsid w:val="009B0D58"/>
    <w:rsid w:val="009B44D8"/>
    <w:rsid w:val="009E0C4A"/>
    <w:rsid w:val="009E1A1A"/>
    <w:rsid w:val="009F6463"/>
    <w:rsid w:val="00A2108F"/>
    <w:rsid w:val="00A22F7B"/>
    <w:rsid w:val="00A24229"/>
    <w:rsid w:val="00A271E6"/>
    <w:rsid w:val="00A54155"/>
    <w:rsid w:val="00A57F68"/>
    <w:rsid w:val="00A62053"/>
    <w:rsid w:val="00A64112"/>
    <w:rsid w:val="00A674BB"/>
    <w:rsid w:val="00A76B13"/>
    <w:rsid w:val="00A859E1"/>
    <w:rsid w:val="00AA39CB"/>
    <w:rsid w:val="00AA6E12"/>
    <w:rsid w:val="00AA7F06"/>
    <w:rsid w:val="00AB0307"/>
    <w:rsid w:val="00AB43D4"/>
    <w:rsid w:val="00AB4DB8"/>
    <w:rsid w:val="00AC2E3C"/>
    <w:rsid w:val="00AC53F7"/>
    <w:rsid w:val="00AD58B0"/>
    <w:rsid w:val="00AD7F68"/>
    <w:rsid w:val="00AE4E64"/>
    <w:rsid w:val="00AE732A"/>
    <w:rsid w:val="00AF1828"/>
    <w:rsid w:val="00B075C9"/>
    <w:rsid w:val="00B11514"/>
    <w:rsid w:val="00B12D5B"/>
    <w:rsid w:val="00B15BE5"/>
    <w:rsid w:val="00B2115A"/>
    <w:rsid w:val="00B22566"/>
    <w:rsid w:val="00B2274D"/>
    <w:rsid w:val="00B26BBE"/>
    <w:rsid w:val="00B43B2C"/>
    <w:rsid w:val="00B56738"/>
    <w:rsid w:val="00B621A3"/>
    <w:rsid w:val="00B63CA5"/>
    <w:rsid w:val="00B67AA6"/>
    <w:rsid w:val="00B70501"/>
    <w:rsid w:val="00B71D8D"/>
    <w:rsid w:val="00B77940"/>
    <w:rsid w:val="00B820DC"/>
    <w:rsid w:val="00B95647"/>
    <w:rsid w:val="00B96A79"/>
    <w:rsid w:val="00BA06D4"/>
    <w:rsid w:val="00BB61DE"/>
    <w:rsid w:val="00BD56C4"/>
    <w:rsid w:val="00BD7372"/>
    <w:rsid w:val="00BE12FA"/>
    <w:rsid w:val="00BE489E"/>
    <w:rsid w:val="00BE4AF8"/>
    <w:rsid w:val="00BE51A8"/>
    <w:rsid w:val="00BE5FF2"/>
    <w:rsid w:val="00BF1B7B"/>
    <w:rsid w:val="00BF3287"/>
    <w:rsid w:val="00C06E17"/>
    <w:rsid w:val="00C073D5"/>
    <w:rsid w:val="00C11D1D"/>
    <w:rsid w:val="00C146C1"/>
    <w:rsid w:val="00C20E78"/>
    <w:rsid w:val="00C31791"/>
    <w:rsid w:val="00C31EB0"/>
    <w:rsid w:val="00C355D8"/>
    <w:rsid w:val="00C3746A"/>
    <w:rsid w:val="00C40B29"/>
    <w:rsid w:val="00C433B0"/>
    <w:rsid w:val="00C4651D"/>
    <w:rsid w:val="00C70DBC"/>
    <w:rsid w:val="00C7622F"/>
    <w:rsid w:val="00C76F18"/>
    <w:rsid w:val="00C95F1E"/>
    <w:rsid w:val="00CA4B37"/>
    <w:rsid w:val="00CA6B6C"/>
    <w:rsid w:val="00CB0BA0"/>
    <w:rsid w:val="00CB0FA9"/>
    <w:rsid w:val="00CC0E80"/>
    <w:rsid w:val="00CC3B68"/>
    <w:rsid w:val="00CC7BB2"/>
    <w:rsid w:val="00CE3759"/>
    <w:rsid w:val="00CE7572"/>
    <w:rsid w:val="00CF4924"/>
    <w:rsid w:val="00D0788E"/>
    <w:rsid w:val="00D10574"/>
    <w:rsid w:val="00D14E80"/>
    <w:rsid w:val="00D331DD"/>
    <w:rsid w:val="00D33782"/>
    <w:rsid w:val="00D438D2"/>
    <w:rsid w:val="00D4571A"/>
    <w:rsid w:val="00D65107"/>
    <w:rsid w:val="00D6660D"/>
    <w:rsid w:val="00D71EDA"/>
    <w:rsid w:val="00D71F9B"/>
    <w:rsid w:val="00D76346"/>
    <w:rsid w:val="00D81719"/>
    <w:rsid w:val="00D91808"/>
    <w:rsid w:val="00D95CA0"/>
    <w:rsid w:val="00DA1BB9"/>
    <w:rsid w:val="00DB67E4"/>
    <w:rsid w:val="00DC2528"/>
    <w:rsid w:val="00DC5AAC"/>
    <w:rsid w:val="00DC624A"/>
    <w:rsid w:val="00DE7983"/>
    <w:rsid w:val="00DF3510"/>
    <w:rsid w:val="00E03B26"/>
    <w:rsid w:val="00E05448"/>
    <w:rsid w:val="00E118B4"/>
    <w:rsid w:val="00E21ED0"/>
    <w:rsid w:val="00E2356E"/>
    <w:rsid w:val="00E309DF"/>
    <w:rsid w:val="00E31047"/>
    <w:rsid w:val="00E32278"/>
    <w:rsid w:val="00E37464"/>
    <w:rsid w:val="00E37EF2"/>
    <w:rsid w:val="00E400F5"/>
    <w:rsid w:val="00E424BC"/>
    <w:rsid w:val="00E4503E"/>
    <w:rsid w:val="00E66CDE"/>
    <w:rsid w:val="00E9606A"/>
    <w:rsid w:val="00E97CC2"/>
    <w:rsid w:val="00EA00C6"/>
    <w:rsid w:val="00EA1067"/>
    <w:rsid w:val="00EA2E2A"/>
    <w:rsid w:val="00EA4164"/>
    <w:rsid w:val="00EC6FDA"/>
    <w:rsid w:val="00ED084A"/>
    <w:rsid w:val="00ED4E68"/>
    <w:rsid w:val="00EE2C32"/>
    <w:rsid w:val="00EF5D13"/>
    <w:rsid w:val="00F00348"/>
    <w:rsid w:val="00F013FA"/>
    <w:rsid w:val="00F0466B"/>
    <w:rsid w:val="00F059EA"/>
    <w:rsid w:val="00F06B1A"/>
    <w:rsid w:val="00F11EE5"/>
    <w:rsid w:val="00F1789A"/>
    <w:rsid w:val="00F213F2"/>
    <w:rsid w:val="00F25A6D"/>
    <w:rsid w:val="00F30C71"/>
    <w:rsid w:val="00F43B84"/>
    <w:rsid w:val="00F455C9"/>
    <w:rsid w:val="00F640EE"/>
    <w:rsid w:val="00F738D2"/>
    <w:rsid w:val="00F77B55"/>
    <w:rsid w:val="00F80461"/>
    <w:rsid w:val="00F86770"/>
    <w:rsid w:val="00F875FB"/>
    <w:rsid w:val="00F90FA1"/>
    <w:rsid w:val="00F91AAB"/>
    <w:rsid w:val="00FA6287"/>
    <w:rsid w:val="00FD6D67"/>
    <w:rsid w:val="00FE78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A598D3"/>
  <w15:docId w15:val="{19BAC340-8D3F-48A0-B333-1DAEE0DC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073D5"/>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45D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961231754">
      <w:bodyDiv w:val="1"/>
      <w:marLeft w:val="0"/>
      <w:marRight w:val="0"/>
      <w:marTop w:val="0"/>
      <w:marBottom w:val="0"/>
      <w:divBdr>
        <w:top w:val="none" w:sz="0" w:space="0" w:color="auto"/>
        <w:left w:val="none" w:sz="0" w:space="0" w:color="auto"/>
        <w:bottom w:val="none" w:sz="0" w:space="0" w:color="auto"/>
        <w:right w:val="none" w:sz="0" w:space="0" w:color="auto"/>
      </w:divBdr>
    </w:div>
    <w:div w:id="1020398625">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partners.com/en_US/press-and-media/reports/the-world-in-2040.html" TargetMode="External"/><Relationship Id="rId13" Type="http://schemas.openxmlformats.org/officeDocument/2006/relationships/image" Target="media/image2.png"/><Relationship Id="rId18" Type="http://schemas.openxmlformats.org/officeDocument/2006/relationships/hyperlink" Target="http://www.twitter.com/AllianzAssistDE"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s://plus.google.com/104739805363315399489/posts" TargetMode="External"/><Relationship Id="rId7" Type="http://schemas.openxmlformats.org/officeDocument/2006/relationships/endnotes" Target="endnotes.xml"/><Relationship Id="rId12" Type="http://schemas.openxmlformats.org/officeDocument/2006/relationships/hyperlink" Target="https://www.facebook.com/AllianzAssistance" TargetMode="External"/><Relationship Id="rId17" Type="http://schemas.openxmlformats.org/officeDocument/2006/relationships/image" Target="cid:image002.png@01D110A1.E07CA820" TargetMode="External"/><Relationship Id="rId25" Type="http://schemas.openxmlformats.org/officeDocument/2006/relationships/hyperlink" Target="mailto:orlaith.fitzgerald@fleishmaneurope.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3.png@01D110A1.E07CA8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orla.burke@fleishmaneurope.com" TargetMode="External"/><Relationship Id="rId5" Type="http://schemas.openxmlformats.org/officeDocument/2006/relationships/webSettings" Target="webSettings.xml"/><Relationship Id="rId15" Type="http://schemas.openxmlformats.org/officeDocument/2006/relationships/hyperlink" Target="https://www.youtube.com/channel/UCOHIqQFH_Vw8O6dJhDYHdmQ" TargetMode="External"/><Relationship Id="rId23" Type="http://schemas.openxmlformats.org/officeDocument/2006/relationships/image" Target="cid:image004.jpg@01D110A1.E07CA820" TargetMode="External"/><Relationship Id="rId28" Type="http://schemas.openxmlformats.org/officeDocument/2006/relationships/footer" Target="footer1.xml"/><Relationship Id="rId10" Type="http://schemas.openxmlformats.org/officeDocument/2006/relationships/hyperlink" Target="http://www.allianz-partners.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bhHjz6WWGJY" TargetMode="External"/><Relationship Id="rId14" Type="http://schemas.openxmlformats.org/officeDocument/2006/relationships/image" Target="cid:image001.png@01D110A1.E07CA820"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28B8.D2F1EA30" TargetMode="External"/><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2B102-282B-41EF-BD3E-22759822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758</Words>
  <Characters>5512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Allianz Global Assistance</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Meinel</dc:creator>
  <cp:lastModifiedBy>Andreas Schneider</cp:lastModifiedBy>
  <cp:revision>2</cp:revision>
  <cp:lastPrinted>2017-11-07T09:01:00Z</cp:lastPrinted>
  <dcterms:created xsi:type="dcterms:W3CDTF">2019-06-24T10:08:00Z</dcterms:created>
  <dcterms:modified xsi:type="dcterms:W3CDTF">2019-06-24T10:08:00Z</dcterms:modified>
</cp:coreProperties>
</file>